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07D71C62"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006D1CCC">
        <w:rPr>
          <w:rFonts w:ascii="Arial" w:hAnsi="Arial" w:cs="Arial"/>
          <w:b/>
          <w:sz w:val="24"/>
          <w:szCs w:val="28"/>
          <w:lang w:val="en-US"/>
        </w:rPr>
        <w:t>-Bis</w:t>
      </w:r>
      <w:r w:rsidRPr="00CC6F36">
        <w:rPr>
          <w:rFonts w:ascii="Arial" w:hAnsi="Arial" w:cs="Arial"/>
          <w:b/>
          <w:sz w:val="24"/>
          <w:szCs w:val="28"/>
        </w:rPr>
        <w:tab/>
      </w:r>
      <w:r w:rsidRPr="00CC6F36">
        <w:rPr>
          <w:rFonts w:ascii="Arial" w:hAnsi="Arial" w:cs="Arial"/>
          <w:b/>
          <w:sz w:val="24"/>
          <w:szCs w:val="28"/>
          <w:lang w:val="en-US"/>
        </w:rPr>
        <w:t>R4-</w:t>
      </w:r>
      <w:r w:rsidR="00EE6163">
        <w:rPr>
          <w:rFonts w:ascii="Arial" w:hAnsi="Arial" w:cs="Arial"/>
          <w:b/>
          <w:sz w:val="24"/>
          <w:szCs w:val="28"/>
          <w:lang w:val="en-US"/>
        </w:rPr>
        <w:t>20</w:t>
      </w:r>
      <w:r w:rsidR="00922B83">
        <w:rPr>
          <w:rFonts w:ascii="Arial" w:hAnsi="Arial" w:cs="Arial"/>
          <w:b/>
          <w:sz w:val="24"/>
          <w:szCs w:val="28"/>
          <w:lang w:val="en-US"/>
        </w:rPr>
        <w:t>0</w:t>
      </w:r>
      <w:r w:rsidR="007A0C64">
        <w:rPr>
          <w:rFonts w:ascii="Arial" w:hAnsi="Arial" w:cs="Arial"/>
          <w:b/>
          <w:sz w:val="24"/>
          <w:szCs w:val="28"/>
          <w:lang w:val="en-US"/>
        </w:rPr>
        <w:t>4402</w:t>
      </w:r>
    </w:p>
    <w:p w14:paraId="60407F1B" w14:textId="05AF28A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175DB7">
        <w:rPr>
          <w:rFonts w:ascii="Arial" w:hAnsi="Arial" w:cs="Arial"/>
          <w:b/>
          <w:sz w:val="24"/>
          <w:szCs w:val="28"/>
          <w:lang w:val="en-US"/>
        </w:rPr>
        <w:t>April 20-30</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0E8CCE8F"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175DB7">
        <w:rPr>
          <w:rFonts w:ascii="Arial" w:hAnsi="Arial" w:cs="Arial"/>
          <w:sz w:val="22"/>
          <w:szCs w:val="22"/>
          <w:lang w:val="en-US"/>
        </w:rPr>
        <w:t>6</w:t>
      </w:r>
      <w:r w:rsidR="00544FCB">
        <w:rPr>
          <w:rFonts w:ascii="Arial" w:hAnsi="Arial" w:cs="Arial"/>
          <w:sz w:val="22"/>
          <w:szCs w:val="22"/>
          <w:lang w:val="en-US"/>
        </w:rPr>
        <w:t>.1.</w:t>
      </w:r>
      <w:r w:rsidR="00175DB7">
        <w:rPr>
          <w:rFonts w:ascii="Arial" w:hAnsi="Arial" w:cs="Arial"/>
          <w:sz w:val="22"/>
          <w:szCs w:val="22"/>
          <w:lang w:val="en-US"/>
        </w:rPr>
        <w:t>5</w:t>
      </w:r>
      <w:r w:rsidR="00D75664">
        <w:rPr>
          <w:rFonts w:ascii="Arial" w:hAnsi="Arial" w:cs="Arial"/>
          <w:sz w:val="22"/>
          <w:szCs w:val="22"/>
          <w:lang w:val="en-US"/>
        </w:rPr>
        <w:t>.</w:t>
      </w:r>
      <w:r w:rsidR="00175DB7">
        <w:rPr>
          <w:rFonts w:ascii="Arial" w:hAnsi="Arial" w:cs="Arial"/>
          <w:sz w:val="22"/>
          <w:szCs w:val="22"/>
          <w:lang w:val="en-US"/>
        </w:rPr>
        <w:t>9</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729BC662"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D75664" w:rsidRPr="00D75664">
        <w:rPr>
          <w:rFonts w:ascii="Arial" w:hAnsi="Arial" w:cs="Arial"/>
          <w:sz w:val="22"/>
          <w:szCs w:val="22"/>
        </w:rPr>
        <w:t>Analysis of BWP switching requirement due to consistent UL failure</w:t>
      </w:r>
    </w:p>
    <w:p w14:paraId="37EAE97F" w14:textId="77777777"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63CD4" w:rsidRDefault="00CC6F36" w:rsidP="00263CD4">
      <w:pPr>
        <w:pStyle w:val="Heading1"/>
        <w:numPr>
          <w:ilvl w:val="0"/>
          <w:numId w:val="17"/>
        </w:numPr>
      </w:pPr>
      <w:bookmarkStart w:id="0" w:name="OLE_LINK13"/>
      <w:bookmarkStart w:id="1" w:name="OLE_LINK14"/>
      <w:r w:rsidRPr="00263CD4">
        <w:t>Introduction</w:t>
      </w:r>
    </w:p>
    <w:p w14:paraId="5F4FA9F6" w14:textId="4D2B962B" w:rsidR="00B44E82" w:rsidRDefault="009828FE" w:rsidP="009C7EA1">
      <w:pPr>
        <w:spacing w:before="120" w:after="0"/>
        <w:rPr>
          <w:sz w:val="22"/>
          <w:szCs w:val="22"/>
          <w:lang w:val="en-US"/>
        </w:rPr>
      </w:pPr>
      <w:r w:rsidRPr="003052E9">
        <w:rPr>
          <w:sz w:val="22"/>
          <w:szCs w:val="22"/>
          <w:lang w:val="en-US"/>
        </w:rPr>
        <w:t>In RAN4</w:t>
      </w:r>
      <w:r w:rsidR="00087C28" w:rsidRPr="003052E9">
        <w:rPr>
          <w:sz w:val="22"/>
          <w:szCs w:val="22"/>
          <w:lang w:val="en-US"/>
        </w:rPr>
        <w:t>#9</w:t>
      </w:r>
      <w:r w:rsidR="000743B0">
        <w:rPr>
          <w:sz w:val="22"/>
          <w:szCs w:val="22"/>
          <w:lang w:val="en-US"/>
        </w:rPr>
        <w:t>4</w:t>
      </w:r>
      <w:r w:rsidR="000850C5" w:rsidRPr="003052E9">
        <w:rPr>
          <w:sz w:val="22"/>
          <w:szCs w:val="22"/>
          <w:lang w:val="en-US"/>
        </w:rPr>
        <w:t xml:space="preserve"> </w:t>
      </w:r>
      <w:r w:rsidR="00016F6F" w:rsidRPr="003052E9">
        <w:rPr>
          <w:sz w:val="22"/>
          <w:szCs w:val="22"/>
          <w:lang w:val="en-US"/>
        </w:rPr>
        <w:t>meeting</w:t>
      </w:r>
      <w:r w:rsidR="00087C28" w:rsidRPr="003052E9">
        <w:rPr>
          <w:sz w:val="22"/>
          <w:szCs w:val="22"/>
          <w:lang w:val="en-US"/>
        </w:rPr>
        <w:t xml:space="preserve"> </w:t>
      </w:r>
      <w:r w:rsidR="0032110B" w:rsidRPr="003052E9">
        <w:rPr>
          <w:sz w:val="22"/>
          <w:szCs w:val="22"/>
          <w:lang w:val="en-US"/>
        </w:rPr>
        <w:t xml:space="preserve">the WF </w:t>
      </w:r>
      <w:r w:rsidR="00016F6F" w:rsidRPr="003052E9">
        <w:rPr>
          <w:sz w:val="22"/>
          <w:szCs w:val="22"/>
          <w:lang w:val="en-US"/>
        </w:rPr>
        <w:t xml:space="preserve">on </w:t>
      </w:r>
      <w:r w:rsidR="0032110B" w:rsidRPr="003052E9">
        <w:rPr>
          <w:sz w:val="22"/>
          <w:szCs w:val="22"/>
          <w:lang w:val="en-US"/>
        </w:rPr>
        <w:t>RRM requirements</w:t>
      </w:r>
      <w:r w:rsidR="00C50450" w:rsidRPr="003052E9">
        <w:rPr>
          <w:sz w:val="22"/>
          <w:szCs w:val="22"/>
          <w:lang w:val="en-US"/>
        </w:rPr>
        <w:t xml:space="preserve"> </w:t>
      </w:r>
      <w:r w:rsidR="00016F6F" w:rsidRPr="003052E9">
        <w:rPr>
          <w:sz w:val="22"/>
          <w:szCs w:val="22"/>
          <w:lang w:val="en-US"/>
        </w:rPr>
        <w:t xml:space="preserve">for </w:t>
      </w:r>
      <w:r w:rsidR="00BE5538">
        <w:rPr>
          <w:sz w:val="22"/>
          <w:szCs w:val="22"/>
          <w:lang w:val="en-US"/>
        </w:rPr>
        <w:t>NR-U</w:t>
      </w:r>
      <w:r w:rsidR="00016F6F" w:rsidRPr="003052E9">
        <w:rPr>
          <w:sz w:val="22"/>
          <w:szCs w:val="22"/>
          <w:lang w:val="en-US"/>
        </w:rPr>
        <w:t xml:space="preserve"> </w:t>
      </w:r>
      <w:r w:rsidR="000743B0">
        <w:rPr>
          <w:sz w:val="22"/>
          <w:szCs w:val="22"/>
          <w:lang w:val="en-US"/>
        </w:rPr>
        <w:t xml:space="preserve">Part 2 </w:t>
      </w:r>
      <w:r w:rsidR="00087C28" w:rsidRPr="003052E9">
        <w:rPr>
          <w:sz w:val="22"/>
          <w:szCs w:val="22"/>
          <w:lang w:val="en-US"/>
        </w:rPr>
        <w:t xml:space="preserve">was approved </w:t>
      </w:r>
      <w:r w:rsidR="00C50450" w:rsidRPr="003052E9">
        <w:rPr>
          <w:sz w:val="22"/>
          <w:szCs w:val="22"/>
          <w:lang w:val="en-US"/>
        </w:rPr>
        <w:t>[</w:t>
      </w:r>
      <w:r w:rsidR="00087C28" w:rsidRPr="003052E9">
        <w:rPr>
          <w:sz w:val="22"/>
          <w:szCs w:val="22"/>
          <w:lang w:val="en-US"/>
        </w:rPr>
        <w:t>1</w:t>
      </w:r>
      <w:r w:rsidR="00C50450" w:rsidRPr="003052E9">
        <w:rPr>
          <w:sz w:val="22"/>
          <w:szCs w:val="22"/>
          <w:lang w:val="en-US"/>
        </w:rPr>
        <w:t>]</w:t>
      </w:r>
      <w:r w:rsidR="009C7EA1" w:rsidRPr="003052E9">
        <w:rPr>
          <w:sz w:val="22"/>
          <w:szCs w:val="22"/>
          <w:lang w:val="en-US"/>
        </w:rPr>
        <w:t xml:space="preserve">. </w:t>
      </w:r>
      <w:r w:rsidR="00A40679">
        <w:rPr>
          <w:sz w:val="22"/>
          <w:szCs w:val="22"/>
          <w:lang w:val="en-US"/>
        </w:rPr>
        <w:t xml:space="preserve">There was </w:t>
      </w:r>
      <w:r w:rsidR="000743B0">
        <w:rPr>
          <w:sz w:val="22"/>
          <w:szCs w:val="22"/>
          <w:lang w:val="en-US"/>
        </w:rPr>
        <w:t xml:space="preserve">an </w:t>
      </w:r>
      <w:r w:rsidR="00A40679">
        <w:rPr>
          <w:sz w:val="22"/>
          <w:szCs w:val="22"/>
          <w:lang w:val="en-US"/>
        </w:rPr>
        <w:t>a</w:t>
      </w:r>
      <w:r w:rsidR="000850C5" w:rsidRPr="003052E9">
        <w:rPr>
          <w:sz w:val="22"/>
          <w:szCs w:val="22"/>
          <w:lang w:val="en-US"/>
        </w:rPr>
        <w:t xml:space="preserve">greement </w:t>
      </w:r>
      <w:r w:rsidR="000743B0">
        <w:rPr>
          <w:sz w:val="22"/>
          <w:szCs w:val="22"/>
          <w:lang w:val="en-US"/>
        </w:rPr>
        <w:t xml:space="preserve">to define </w:t>
      </w:r>
      <w:r w:rsidR="000743B0" w:rsidRPr="000743B0">
        <w:rPr>
          <w:sz w:val="22"/>
          <w:szCs w:val="22"/>
          <w:lang w:val="en-US"/>
        </w:rPr>
        <w:t>UL BWP switch requirements triggered by consistent UL LBT failures</w:t>
      </w:r>
      <w:r w:rsidR="000743B0">
        <w:rPr>
          <w:sz w:val="22"/>
          <w:szCs w:val="22"/>
          <w:lang w:val="en-US"/>
        </w:rPr>
        <w:t xml:space="preserve"> [1]:</w:t>
      </w:r>
      <w:r w:rsidR="000743B0" w:rsidRPr="000743B0">
        <w:rPr>
          <w:sz w:val="22"/>
          <w:szCs w:val="22"/>
          <w:lang w:val="en-US"/>
        </w:rPr>
        <w:t xml:space="preserve"> </w:t>
      </w:r>
    </w:p>
    <w:p w14:paraId="1E90AC5C" w14:textId="77777777" w:rsidR="000743B0" w:rsidRPr="000743B0" w:rsidRDefault="000743B0" w:rsidP="000743B0">
      <w:pPr>
        <w:pStyle w:val="ListParagraph"/>
        <w:numPr>
          <w:ilvl w:val="0"/>
          <w:numId w:val="18"/>
        </w:numPr>
        <w:pBdr>
          <w:top w:val="single" w:sz="4" w:space="1" w:color="auto"/>
        </w:pBdr>
        <w:spacing w:before="240"/>
        <w:ind w:left="714" w:hanging="357"/>
        <w:contextualSpacing w:val="0"/>
        <w:rPr>
          <w:rFonts w:ascii="Times New Roman" w:hAnsi="Times New Roman"/>
          <w:i/>
          <w:iCs/>
          <w:sz w:val="20"/>
        </w:rPr>
      </w:pPr>
      <w:r w:rsidRPr="000743B0">
        <w:rPr>
          <w:rFonts w:ascii="Times New Roman" w:hAnsi="Times New Roman"/>
          <w:i/>
          <w:iCs/>
          <w:sz w:val="20"/>
        </w:rPr>
        <w:t>Introduce UL BWP switch requirements (delay and interruption) triggered by consistent UL LBT failures</w:t>
      </w:r>
    </w:p>
    <w:p w14:paraId="2F310929" w14:textId="77777777" w:rsidR="000743B0" w:rsidRPr="000743B0" w:rsidRDefault="000743B0" w:rsidP="000743B0">
      <w:pPr>
        <w:pStyle w:val="ListParagraph"/>
        <w:numPr>
          <w:ilvl w:val="0"/>
          <w:numId w:val="18"/>
        </w:numPr>
        <w:spacing w:before="120"/>
        <w:ind w:left="714" w:hanging="357"/>
        <w:contextualSpacing w:val="0"/>
        <w:rPr>
          <w:rFonts w:ascii="Times New Roman" w:hAnsi="Times New Roman"/>
          <w:i/>
          <w:iCs/>
          <w:sz w:val="20"/>
        </w:rPr>
      </w:pPr>
      <w:r w:rsidRPr="000743B0">
        <w:rPr>
          <w:rFonts w:ascii="Times New Roman" w:hAnsi="Times New Roman"/>
          <w:i/>
          <w:iCs/>
          <w:sz w:val="20"/>
        </w:rPr>
        <w:t>UL BWP switch requirements triggered by consistent UL LBT failures</w:t>
      </w:r>
    </w:p>
    <w:p w14:paraId="0739252B" w14:textId="77777777" w:rsidR="000743B0" w:rsidRPr="000743B0" w:rsidRDefault="000743B0" w:rsidP="000743B0">
      <w:pPr>
        <w:pStyle w:val="ListParagraph"/>
        <w:numPr>
          <w:ilvl w:val="1"/>
          <w:numId w:val="18"/>
        </w:numPr>
        <w:spacing w:before="120"/>
        <w:contextualSpacing w:val="0"/>
        <w:rPr>
          <w:rFonts w:ascii="Times New Roman" w:hAnsi="Times New Roman"/>
          <w:i/>
          <w:iCs/>
          <w:sz w:val="20"/>
        </w:rPr>
      </w:pPr>
      <w:r w:rsidRPr="000743B0">
        <w:rPr>
          <w:rFonts w:ascii="Times New Roman" w:hAnsi="Times New Roman"/>
          <w:i/>
          <w:iCs/>
          <w:sz w:val="20"/>
        </w:rPr>
        <w:t xml:space="preserve">Option 1: Follow DCI and timer-based BWP switch </w:t>
      </w:r>
    </w:p>
    <w:p w14:paraId="4DECCCBD" w14:textId="365389BC" w:rsidR="000743B0" w:rsidRPr="000743B0" w:rsidRDefault="000743B0" w:rsidP="000743B0">
      <w:pPr>
        <w:pStyle w:val="ListParagraph"/>
        <w:numPr>
          <w:ilvl w:val="1"/>
          <w:numId w:val="18"/>
        </w:numPr>
        <w:pBdr>
          <w:bottom w:val="single" w:sz="4" w:space="1" w:color="auto"/>
        </w:pBdr>
        <w:spacing w:before="120"/>
        <w:contextualSpacing w:val="0"/>
        <w:rPr>
          <w:szCs w:val="22"/>
        </w:rPr>
      </w:pPr>
      <w:r w:rsidRPr="000743B0">
        <w:rPr>
          <w:rFonts w:ascii="Times New Roman" w:hAnsi="Times New Roman"/>
          <w:i/>
          <w:iCs/>
          <w:sz w:val="20"/>
        </w:rPr>
        <w:t>Option 2: FFS</w:t>
      </w:r>
    </w:p>
    <w:p w14:paraId="010F8CF9" w14:textId="5171A1B1" w:rsidR="00866CC5" w:rsidRPr="003052E9" w:rsidRDefault="00866CC5" w:rsidP="008F549F">
      <w:pPr>
        <w:spacing w:before="240" w:after="0"/>
        <w:rPr>
          <w:sz w:val="22"/>
          <w:szCs w:val="22"/>
          <w:lang w:val="en-US"/>
        </w:rPr>
      </w:pPr>
      <w:r w:rsidRPr="003052E9">
        <w:rPr>
          <w:sz w:val="22"/>
          <w:szCs w:val="22"/>
          <w:lang w:val="en-US"/>
        </w:rPr>
        <w:t xml:space="preserve">In this paper we </w:t>
      </w:r>
      <w:r w:rsidR="000743B0">
        <w:rPr>
          <w:sz w:val="22"/>
          <w:szCs w:val="22"/>
          <w:lang w:val="en-US"/>
        </w:rPr>
        <w:t xml:space="preserve">further </w:t>
      </w:r>
      <w:r w:rsidRPr="003052E9">
        <w:rPr>
          <w:sz w:val="22"/>
          <w:szCs w:val="22"/>
          <w:lang w:val="en-US"/>
        </w:rPr>
        <w:t>analy</w:t>
      </w:r>
      <w:r w:rsidR="000743B0">
        <w:rPr>
          <w:sz w:val="22"/>
          <w:szCs w:val="22"/>
          <w:lang w:val="en-US"/>
        </w:rPr>
        <w:t xml:space="preserve">ze the </w:t>
      </w:r>
      <w:r w:rsidR="000F580A">
        <w:rPr>
          <w:sz w:val="22"/>
          <w:szCs w:val="22"/>
          <w:lang w:val="en-US"/>
        </w:rPr>
        <w:t xml:space="preserve">BWP switching </w:t>
      </w:r>
      <w:r w:rsidR="000F580A" w:rsidRPr="00A40679">
        <w:rPr>
          <w:sz w:val="22"/>
          <w:szCs w:val="22"/>
          <w:lang w:val="en-US"/>
        </w:rPr>
        <w:t xml:space="preserve">requirements triggered </w:t>
      </w:r>
      <w:r w:rsidR="000743B0">
        <w:rPr>
          <w:sz w:val="22"/>
          <w:szCs w:val="22"/>
          <w:lang w:val="en-US"/>
        </w:rPr>
        <w:t>by</w:t>
      </w:r>
      <w:r w:rsidR="000F580A">
        <w:rPr>
          <w:sz w:val="22"/>
          <w:szCs w:val="22"/>
          <w:lang w:val="en-US"/>
        </w:rPr>
        <w:t xml:space="preserve"> </w:t>
      </w:r>
      <w:r w:rsidR="000F580A" w:rsidRPr="00A40679">
        <w:rPr>
          <w:sz w:val="22"/>
          <w:szCs w:val="22"/>
          <w:lang w:val="en-US"/>
        </w:rPr>
        <w:t>consistent UL LBT failure</w:t>
      </w:r>
      <w:r w:rsidRPr="003052E9">
        <w:rPr>
          <w:sz w:val="22"/>
          <w:szCs w:val="22"/>
          <w:lang w:val="en-US"/>
        </w:rPr>
        <w:t xml:space="preserve">. </w:t>
      </w:r>
    </w:p>
    <w:p w14:paraId="6343CBEA" w14:textId="653A645C" w:rsidR="00F377FF" w:rsidRDefault="00F64287" w:rsidP="00263CD4">
      <w:pPr>
        <w:pStyle w:val="Heading1"/>
        <w:numPr>
          <w:ilvl w:val="0"/>
          <w:numId w:val="17"/>
        </w:numPr>
        <w:spacing w:before="360" w:after="0"/>
      </w:pPr>
      <w:r>
        <w:t xml:space="preserve">Background: </w:t>
      </w:r>
      <w:r w:rsidRPr="00F64287">
        <w:t xml:space="preserve">UL BWP switching </w:t>
      </w:r>
      <w:r w:rsidR="000A0B29">
        <w:t xml:space="preserve">due to </w:t>
      </w:r>
      <w:r w:rsidRPr="00F64287">
        <w:t>consistent UL LBT failure</w:t>
      </w:r>
    </w:p>
    <w:p w14:paraId="57E89FE9" w14:textId="5051F29A" w:rsidR="008C279A" w:rsidRDefault="008C279A" w:rsidP="00FE032A">
      <w:pPr>
        <w:spacing w:before="240" w:after="0"/>
        <w:rPr>
          <w:rFonts w:eastAsia="SimSun"/>
          <w:sz w:val="22"/>
          <w:szCs w:val="22"/>
          <w:lang w:eastAsia="ko-KR"/>
        </w:rPr>
      </w:pPr>
      <w:r w:rsidRPr="008C279A">
        <w:rPr>
          <w:rFonts w:eastAsia="SimSun"/>
          <w:sz w:val="22"/>
          <w:szCs w:val="22"/>
          <w:lang w:eastAsia="ko-KR"/>
        </w:rPr>
        <w:t xml:space="preserve">According to the latest version of the RAN2 running stage-2 CR to TS 38.300 the following has been captured regarding the UE behaviour upon reaching consistent uplink LBT failures. As noted in the highlighted </w:t>
      </w:r>
      <w:r>
        <w:rPr>
          <w:rFonts w:eastAsia="SimSun"/>
          <w:sz w:val="22"/>
          <w:szCs w:val="22"/>
          <w:lang w:eastAsia="ko-KR"/>
        </w:rPr>
        <w:t xml:space="preserve">(yellow shaded) </w:t>
      </w:r>
      <w:r w:rsidRPr="008C279A">
        <w:rPr>
          <w:rFonts w:eastAsia="SimSun"/>
          <w:sz w:val="22"/>
          <w:szCs w:val="22"/>
          <w:lang w:eastAsia="ko-KR"/>
        </w:rPr>
        <w:t>text that under consistent uplink LBT failure</w:t>
      </w:r>
      <w:r>
        <w:rPr>
          <w:rFonts w:eastAsia="SimSun"/>
          <w:sz w:val="22"/>
          <w:szCs w:val="22"/>
          <w:lang w:eastAsia="ko-KR"/>
        </w:rPr>
        <w:t xml:space="preserve">s </w:t>
      </w:r>
      <w:r w:rsidRPr="008C279A">
        <w:rPr>
          <w:rFonts w:eastAsia="SimSun"/>
          <w:sz w:val="22"/>
          <w:szCs w:val="22"/>
          <w:lang w:eastAsia="ko-KR"/>
        </w:rPr>
        <w:t xml:space="preserve">on </w:t>
      </w:r>
      <w:proofErr w:type="spellStart"/>
      <w:r>
        <w:rPr>
          <w:rFonts w:eastAsia="SimSun"/>
          <w:sz w:val="22"/>
          <w:szCs w:val="22"/>
          <w:lang w:eastAsia="ko-KR"/>
        </w:rPr>
        <w:t>SpCell</w:t>
      </w:r>
      <w:proofErr w:type="spellEnd"/>
      <w:r>
        <w:rPr>
          <w:rFonts w:eastAsia="SimSun"/>
          <w:sz w:val="22"/>
          <w:szCs w:val="22"/>
          <w:lang w:eastAsia="ko-KR"/>
        </w:rPr>
        <w:t xml:space="preserve"> (i.e. </w:t>
      </w:r>
      <w:proofErr w:type="spellStart"/>
      <w:r>
        <w:rPr>
          <w:rFonts w:eastAsia="SimSun"/>
          <w:sz w:val="22"/>
          <w:szCs w:val="22"/>
          <w:lang w:eastAsia="ko-KR"/>
        </w:rPr>
        <w:t>PCell</w:t>
      </w:r>
      <w:proofErr w:type="spellEnd"/>
      <w:r>
        <w:rPr>
          <w:rFonts w:eastAsia="SimSun"/>
          <w:sz w:val="22"/>
          <w:szCs w:val="22"/>
          <w:lang w:eastAsia="ko-KR"/>
        </w:rPr>
        <w:t xml:space="preserve"> or </w:t>
      </w:r>
      <w:proofErr w:type="spellStart"/>
      <w:r>
        <w:rPr>
          <w:rFonts w:eastAsia="SimSun"/>
          <w:sz w:val="22"/>
          <w:szCs w:val="22"/>
          <w:lang w:eastAsia="ko-KR"/>
        </w:rPr>
        <w:t>PSCell</w:t>
      </w:r>
      <w:proofErr w:type="spellEnd"/>
      <w:r>
        <w:rPr>
          <w:rFonts w:eastAsia="SimSun"/>
          <w:sz w:val="22"/>
          <w:szCs w:val="22"/>
          <w:lang w:eastAsia="ko-KR"/>
        </w:rPr>
        <w:t xml:space="preserve">) the UE switched to another UL BWP i.e. performs UL BWP switching on another RB sets and sends RACH to report the failure. Furthermore, it is up to select the UL BWP if </w:t>
      </w:r>
      <w:r w:rsidRPr="008C279A">
        <w:rPr>
          <w:rFonts w:eastAsia="SimSun"/>
          <w:sz w:val="22"/>
          <w:szCs w:val="22"/>
          <w:lang w:eastAsia="ko-KR"/>
        </w:rPr>
        <w:t xml:space="preserve">multiple UL BWPs are </w:t>
      </w:r>
      <w:r>
        <w:rPr>
          <w:rFonts w:eastAsia="SimSun"/>
          <w:sz w:val="22"/>
          <w:szCs w:val="22"/>
          <w:lang w:eastAsia="ko-KR"/>
        </w:rPr>
        <w:t xml:space="preserve">configured. </w:t>
      </w:r>
      <w:r w:rsidRPr="008C279A">
        <w:rPr>
          <w:rFonts w:eastAsia="SimSun"/>
          <w:sz w:val="22"/>
          <w:szCs w:val="22"/>
          <w:lang w:eastAsia="ko-KR"/>
        </w:rPr>
        <w:t>RAN2 is defining the UE behaviour in the stage-3 MAC specification, TS 38.321.</w:t>
      </w:r>
    </w:p>
    <w:p w14:paraId="72D4F095" w14:textId="11F35CAB" w:rsidR="00FE032A" w:rsidRPr="00FE032A" w:rsidRDefault="00FE032A" w:rsidP="00FE032A">
      <w:pPr>
        <w:pBdr>
          <w:top w:val="single" w:sz="4" w:space="1" w:color="auto"/>
          <w:bottom w:val="single" w:sz="4" w:space="1" w:color="auto"/>
        </w:pBdr>
        <w:spacing w:before="240" w:after="0"/>
        <w:rPr>
          <w:rFonts w:eastAsia="SimSun"/>
          <w:i/>
          <w:iCs/>
          <w:lang w:eastAsia="ko-KR"/>
        </w:rPr>
      </w:pPr>
      <w:r w:rsidRPr="00FE032A">
        <w:rPr>
          <w:rFonts w:eastAsia="SimSun"/>
          <w:i/>
          <w:iCs/>
          <w:lang w:eastAsia="ko-KR"/>
        </w:rPr>
        <w:t xml:space="preserve">When the UE detects consistent uplink LBT failures, it takes actions as specified in TS 38.321 [6]. The detection is per Bandwidth Part (BWP) and based on all uplink transmissions within this BWP. When consistent uplink LBT failures are detected on </w:t>
      </w:r>
      <w:proofErr w:type="spellStart"/>
      <w:r w:rsidRPr="00FE032A">
        <w:rPr>
          <w:rFonts w:eastAsia="SimSun"/>
          <w:i/>
          <w:iCs/>
          <w:lang w:eastAsia="ko-KR"/>
        </w:rPr>
        <w:t>SCell</w:t>
      </w:r>
      <w:proofErr w:type="spellEnd"/>
      <w:r w:rsidRPr="00FE032A">
        <w:rPr>
          <w:rFonts w:eastAsia="SimSun"/>
          <w:i/>
          <w:iCs/>
          <w:lang w:eastAsia="ko-KR"/>
        </w:rPr>
        <w:t xml:space="preserve">(s), the UE reports this to the corresponding </w:t>
      </w:r>
      <w:proofErr w:type="spellStart"/>
      <w:r w:rsidRPr="00FE032A">
        <w:rPr>
          <w:rFonts w:eastAsia="SimSun"/>
          <w:i/>
          <w:iCs/>
          <w:lang w:eastAsia="ko-KR"/>
        </w:rPr>
        <w:t>gNB</w:t>
      </w:r>
      <w:proofErr w:type="spellEnd"/>
      <w:r w:rsidRPr="00FE032A">
        <w:rPr>
          <w:rFonts w:eastAsia="SimSun"/>
          <w:i/>
          <w:iCs/>
          <w:lang w:eastAsia="ko-KR"/>
        </w:rPr>
        <w:t xml:space="preserve"> (MN for MCG, SN for SCG) via MAC CE on a different serving cell than the </w:t>
      </w:r>
      <w:proofErr w:type="spellStart"/>
      <w:r w:rsidRPr="00FE032A">
        <w:rPr>
          <w:rFonts w:eastAsia="SimSun"/>
          <w:i/>
          <w:iCs/>
          <w:lang w:eastAsia="ko-KR"/>
        </w:rPr>
        <w:t>SCell</w:t>
      </w:r>
      <w:proofErr w:type="spellEnd"/>
      <w:r w:rsidRPr="00FE032A">
        <w:rPr>
          <w:rFonts w:eastAsia="SimSun"/>
          <w:i/>
          <w:iCs/>
          <w:lang w:eastAsia="ko-KR"/>
        </w:rPr>
        <w:t xml:space="preserve">(s) where the failures were detected. If no resources are available to transmit the MAC CE, a Scheduling Request (SR) can be transmitted by the UE. </w:t>
      </w:r>
      <w:r w:rsidRPr="00FE032A">
        <w:rPr>
          <w:rFonts w:eastAsia="SimSun"/>
          <w:i/>
          <w:iCs/>
          <w:highlight w:val="yellow"/>
          <w:lang w:eastAsia="ko-KR"/>
        </w:rPr>
        <w:t xml:space="preserve">When consistent uplink LBT failures are detected on </w:t>
      </w:r>
      <w:proofErr w:type="spellStart"/>
      <w:r w:rsidRPr="00FE032A">
        <w:rPr>
          <w:rFonts w:eastAsia="SimSun"/>
          <w:i/>
          <w:iCs/>
          <w:highlight w:val="yellow"/>
          <w:lang w:eastAsia="ko-KR"/>
        </w:rPr>
        <w:t>SpCell</w:t>
      </w:r>
      <w:proofErr w:type="spellEnd"/>
      <w:r w:rsidRPr="00FE032A">
        <w:rPr>
          <w:rFonts w:eastAsia="SimSun"/>
          <w:i/>
          <w:iCs/>
          <w:highlight w:val="yellow"/>
          <w:lang w:eastAsia="ko-KR"/>
        </w:rPr>
        <w:t>, the UE switches to another UL BWP with configured RACH resources on that cell, initiates RACH, and reports the failure via MAC CE. When multiple UL BWPs are available for switching, it is up to the UE implementation which one to select.</w:t>
      </w:r>
      <w:r w:rsidRPr="00FE032A">
        <w:rPr>
          <w:rFonts w:eastAsia="SimSun"/>
          <w:i/>
          <w:iCs/>
          <w:lang w:eastAsia="ko-KR"/>
        </w:rPr>
        <w:t xml:space="preserve"> For </w:t>
      </w:r>
      <w:proofErr w:type="spellStart"/>
      <w:r w:rsidRPr="00FE032A">
        <w:rPr>
          <w:rFonts w:eastAsia="SimSun"/>
          <w:i/>
          <w:iCs/>
          <w:lang w:eastAsia="ko-KR"/>
        </w:rPr>
        <w:t>PSCell</w:t>
      </w:r>
      <w:proofErr w:type="spellEnd"/>
      <w:r w:rsidRPr="00FE032A">
        <w:rPr>
          <w:rFonts w:eastAsia="SimSun"/>
          <w:i/>
          <w:iCs/>
          <w:lang w:eastAsia="ko-KR"/>
        </w:rPr>
        <w:t xml:space="preserve">, if consistent uplink LBT failures are detected on all the UL BWPs with configured RACH resources, the UE declares SCG RLF and reports the failure to the MN via </w:t>
      </w:r>
      <w:proofErr w:type="spellStart"/>
      <w:r w:rsidRPr="00FE032A">
        <w:rPr>
          <w:rFonts w:eastAsia="SimSun"/>
          <w:i/>
          <w:iCs/>
          <w:lang w:eastAsia="ko-KR"/>
        </w:rPr>
        <w:t>SCGFailureInformation</w:t>
      </w:r>
      <w:proofErr w:type="spellEnd"/>
      <w:r w:rsidRPr="00FE032A">
        <w:rPr>
          <w:rFonts w:eastAsia="SimSun"/>
          <w:i/>
          <w:iCs/>
          <w:lang w:eastAsia="ko-KR"/>
        </w:rPr>
        <w:t xml:space="preserve">. For </w:t>
      </w:r>
      <w:proofErr w:type="spellStart"/>
      <w:r w:rsidRPr="00FE032A">
        <w:rPr>
          <w:rFonts w:eastAsia="SimSun"/>
          <w:i/>
          <w:iCs/>
          <w:lang w:eastAsia="ko-KR"/>
        </w:rPr>
        <w:t>PCell</w:t>
      </w:r>
      <w:proofErr w:type="spellEnd"/>
      <w:r w:rsidRPr="00FE032A">
        <w:rPr>
          <w:rFonts w:eastAsia="SimSun"/>
          <w:i/>
          <w:iCs/>
          <w:lang w:eastAsia="ko-KR"/>
        </w:rPr>
        <w:t>, if the uplink LBT failures are detected on all the UL BWP(s) with configured RACH resources, the UE declares RLF.</w:t>
      </w:r>
    </w:p>
    <w:p w14:paraId="78E6B734" w14:textId="136383EB" w:rsidR="008C279A" w:rsidRDefault="008C279A" w:rsidP="008C279A">
      <w:pPr>
        <w:spacing w:before="360"/>
        <w:rPr>
          <w:rFonts w:eastAsia="SimSun"/>
          <w:lang w:eastAsia="ko-KR"/>
        </w:rPr>
      </w:pPr>
      <w:r>
        <w:rPr>
          <w:rFonts w:eastAsia="SimSun"/>
          <w:lang w:eastAsia="ko-KR"/>
        </w:rPr>
        <w:t xml:space="preserve">In the latest version of the RAN2 running CR to TS 38.331 the procedure to configure the UE with </w:t>
      </w:r>
      <w:proofErr w:type="spellStart"/>
      <w:r>
        <w:rPr>
          <w:rFonts w:eastAsia="SimSun"/>
          <w:lang w:eastAsia="ko-KR"/>
        </w:rPr>
        <w:t>paraneters</w:t>
      </w:r>
      <w:proofErr w:type="spellEnd"/>
      <w:r>
        <w:rPr>
          <w:rFonts w:eastAsia="SimSun"/>
          <w:lang w:eastAsia="ko-KR"/>
        </w:rPr>
        <w:t xml:space="preserve"> comprising an UL LBT failure detection timer and a maximum number of UL LBT failure count, which trigger consistent </w:t>
      </w:r>
      <w:r w:rsidRPr="00E32126">
        <w:rPr>
          <w:rFonts w:eastAsia="SimSun"/>
          <w:lang w:eastAsia="ko-KR"/>
        </w:rPr>
        <w:t>uplink LBT failures</w:t>
      </w:r>
      <w:r>
        <w:rPr>
          <w:rFonts w:eastAsia="SimSun"/>
          <w:lang w:eastAsia="ko-KR"/>
        </w:rPr>
        <w:t xml:space="preserve"> is being specified, as shown below:</w:t>
      </w:r>
    </w:p>
    <w:p w14:paraId="08F5F34E" w14:textId="77777777" w:rsidR="001441D2" w:rsidRPr="00325D1F" w:rsidRDefault="001441D2" w:rsidP="0064657F">
      <w:pPr>
        <w:pStyle w:val="Heading4"/>
        <w:pBdr>
          <w:top w:val="single" w:sz="4" w:space="1" w:color="auto"/>
        </w:pBdr>
        <w:rPr>
          <w:rFonts w:eastAsia="SimSun"/>
        </w:rPr>
      </w:pPr>
      <w:r w:rsidRPr="00325D1F">
        <w:rPr>
          <w:rFonts w:eastAsia="MS Mincho"/>
        </w:rPr>
        <w:t>–</w:t>
      </w:r>
      <w:r w:rsidRPr="00325D1F">
        <w:rPr>
          <w:rFonts w:eastAsia="SimSun"/>
        </w:rPr>
        <w:tab/>
      </w:r>
      <w:r>
        <w:rPr>
          <w:i/>
        </w:rPr>
        <w:t>LBT</w:t>
      </w:r>
      <w:r w:rsidRPr="00413E0F">
        <w:rPr>
          <w:i/>
        </w:rPr>
        <w:t>-</w:t>
      </w:r>
      <w:proofErr w:type="spellStart"/>
      <w:r w:rsidRPr="00413E0F">
        <w:rPr>
          <w:i/>
        </w:rPr>
        <w:t>FailureRecoveryConfig</w:t>
      </w:r>
      <w:proofErr w:type="spellEnd"/>
    </w:p>
    <w:p w14:paraId="5E83B41A" w14:textId="77777777" w:rsidR="001441D2" w:rsidRPr="0064657F" w:rsidRDefault="001441D2" w:rsidP="001441D2">
      <w:pPr>
        <w:rPr>
          <w:rFonts w:eastAsia="SimSun"/>
          <w:i/>
          <w:iCs/>
          <w:sz w:val="18"/>
          <w:szCs w:val="18"/>
          <w:lang w:eastAsia="zh-CN"/>
        </w:rPr>
      </w:pPr>
      <w:r w:rsidRPr="0064657F">
        <w:rPr>
          <w:rFonts w:eastAsia="SimSun"/>
          <w:i/>
          <w:iCs/>
          <w:sz w:val="18"/>
          <w:szCs w:val="18"/>
          <w:lang w:eastAsia="zh-CN"/>
        </w:rPr>
        <w:t>The IE LBT-FailureRecoveryConfig-r16 is used to configure the parameters used for detection of consistent uplink LBT failures for operation with shared spectrum channel access, as specified in TS 38.321 [3].</w:t>
      </w:r>
    </w:p>
    <w:p w14:paraId="7DA12F32" w14:textId="77777777" w:rsidR="001441D2" w:rsidRPr="00325D1F" w:rsidRDefault="001441D2" w:rsidP="001441D2">
      <w:pPr>
        <w:pStyle w:val="TH"/>
        <w:rPr>
          <w:rFonts w:eastAsia="SimSun"/>
          <w:lang w:eastAsia="zh-CN"/>
        </w:rPr>
      </w:pPr>
      <w:r w:rsidRPr="001019FC">
        <w:rPr>
          <w:i/>
        </w:rPr>
        <w:t>LBT-</w:t>
      </w:r>
      <w:proofErr w:type="spellStart"/>
      <w:r w:rsidRPr="001019FC">
        <w:rPr>
          <w:i/>
        </w:rPr>
        <w:t>FailureRecoveryConfig</w:t>
      </w:r>
      <w:proofErr w:type="spellEnd"/>
      <w:r w:rsidRPr="00325D1F">
        <w:t xml:space="preserve"> information element</w:t>
      </w:r>
    </w:p>
    <w:p w14:paraId="05A74EB1" w14:textId="77777777" w:rsidR="001441D2" w:rsidRPr="001441D2" w:rsidRDefault="001441D2" w:rsidP="00144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
          <w:iCs/>
          <w:noProof/>
          <w:sz w:val="16"/>
          <w:lang w:eastAsia="en-GB"/>
        </w:rPr>
      </w:pPr>
      <w:r w:rsidRPr="001441D2">
        <w:rPr>
          <w:i/>
          <w:iCs/>
          <w:noProof/>
          <w:sz w:val="16"/>
          <w:lang w:eastAsia="en-GB"/>
        </w:rPr>
        <w:t xml:space="preserve">LBT-FailureRecoveryConfig-r16 ::=            </w:t>
      </w:r>
      <w:r w:rsidRPr="001441D2">
        <w:rPr>
          <w:i/>
          <w:iCs/>
          <w:noProof/>
          <w:color w:val="993366"/>
          <w:sz w:val="16"/>
          <w:lang w:eastAsia="en-GB"/>
        </w:rPr>
        <w:t>SEQUENCE</w:t>
      </w:r>
      <w:r w:rsidRPr="001441D2">
        <w:rPr>
          <w:i/>
          <w:iCs/>
          <w:noProof/>
          <w:sz w:val="16"/>
          <w:lang w:eastAsia="en-GB"/>
        </w:rPr>
        <w:t xml:space="preserve"> {</w:t>
      </w:r>
    </w:p>
    <w:p w14:paraId="7E829ACA" w14:textId="5E33734F" w:rsidR="001441D2" w:rsidRPr="001441D2" w:rsidRDefault="001441D2" w:rsidP="00144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
          <w:iCs/>
          <w:noProof/>
          <w:color w:val="808080"/>
          <w:sz w:val="16"/>
          <w:lang w:eastAsia="en-GB"/>
        </w:rPr>
      </w:pPr>
      <w:r w:rsidRPr="001441D2">
        <w:rPr>
          <w:i/>
          <w:iCs/>
          <w:noProof/>
          <w:sz w:val="16"/>
          <w:lang w:eastAsia="en-GB"/>
        </w:rPr>
        <w:lastRenderedPageBreak/>
        <w:t xml:space="preserve">    lbt-FailureInstanceMaxCount                        ENUMERATED {n4, n8, n16, n32}                             </w:t>
      </w:r>
      <w:r w:rsidRPr="001441D2">
        <w:rPr>
          <w:i/>
          <w:iCs/>
          <w:noProof/>
          <w:color w:val="993366"/>
          <w:sz w:val="16"/>
          <w:lang w:eastAsia="en-GB"/>
        </w:rPr>
        <w:t>OPTIONAL,</w:t>
      </w:r>
      <w:r w:rsidRPr="001441D2">
        <w:rPr>
          <w:i/>
          <w:iCs/>
          <w:noProof/>
          <w:sz w:val="16"/>
          <w:lang w:eastAsia="en-GB"/>
        </w:rPr>
        <w:t xml:space="preserve">   </w:t>
      </w:r>
      <w:r w:rsidRPr="001441D2">
        <w:rPr>
          <w:i/>
          <w:iCs/>
          <w:noProof/>
          <w:color w:val="808080"/>
          <w:sz w:val="16"/>
          <w:lang w:eastAsia="en-GB"/>
        </w:rPr>
        <w:t>-- Need R</w:t>
      </w:r>
    </w:p>
    <w:p w14:paraId="737923F3" w14:textId="77777777" w:rsidR="001441D2" w:rsidRPr="001441D2" w:rsidRDefault="001441D2" w:rsidP="00144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
          <w:iCs/>
          <w:noProof/>
          <w:sz w:val="16"/>
          <w:lang w:eastAsia="en-GB"/>
        </w:rPr>
      </w:pPr>
      <w:r w:rsidRPr="001441D2">
        <w:rPr>
          <w:i/>
          <w:iCs/>
          <w:noProof/>
          <w:sz w:val="16"/>
          <w:lang w:eastAsia="en-GB"/>
        </w:rPr>
        <w:t xml:space="preserve">    lbt-FailureDetectionTimer                           ENUMERATED {ms10, ms20, ms40, ms80, ms160, ms320}          </w:t>
      </w:r>
      <w:r w:rsidRPr="001441D2">
        <w:rPr>
          <w:i/>
          <w:iCs/>
          <w:noProof/>
          <w:color w:val="993366"/>
          <w:sz w:val="16"/>
          <w:lang w:eastAsia="en-GB"/>
        </w:rPr>
        <w:t>OPTIONAL,</w:t>
      </w:r>
      <w:r w:rsidRPr="001441D2">
        <w:rPr>
          <w:i/>
          <w:iCs/>
          <w:noProof/>
          <w:sz w:val="16"/>
          <w:lang w:eastAsia="en-GB"/>
        </w:rPr>
        <w:t xml:space="preserve">   </w:t>
      </w:r>
      <w:r w:rsidRPr="001441D2">
        <w:rPr>
          <w:i/>
          <w:iCs/>
          <w:noProof/>
          <w:color w:val="808080"/>
          <w:sz w:val="16"/>
          <w:lang w:eastAsia="en-GB"/>
        </w:rPr>
        <w:t>-- Need R</w:t>
      </w:r>
    </w:p>
    <w:p w14:paraId="09652920" w14:textId="77777777" w:rsidR="001441D2" w:rsidRPr="001441D2" w:rsidRDefault="001441D2" w:rsidP="00144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
          <w:iCs/>
          <w:noProof/>
          <w:sz w:val="16"/>
          <w:lang w:eastAsia="en-GB"/>
        </w:rPr>
      </w:pPr>
      <w:r w:rsidRPr="001441D2">
        <w:rPr>
          <w:i/>
          <w:iCs/>
          <w:noProof/>
          <w:sz w:val="16"/>
          <w:lang w:eastAsia="en-GB"/>
        </w:rPr>
        <w:t xml:space="preserve">    ...</w:t>
      </w:r>
    </w:p>
    <w:p w14:paraId="08E7703E" w14:textId="77777777" w:rsidR="001441D2" w:rsidRPr="001441D2" w:rsidRDefault="001441D2" w:rsidP="001441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6"/>
          <w:lang w:eastAsia="en-GB"/>
        </w:rPr>
      </w:pPr>
      <w:r w:rsidRPr="001441D2">
        <w:rPr>
          <w:noProof/>
          <w:sz w:val="16"/>
          <w:lang w:eastAsia="en-GB"/>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441D2" w:rsidRPr="001441D2" w14:paraId="0AD7BE44" w14:textId="77777777" w:rsidTr="001441D2">
        <w:tc>
          <w:tcPr>
            <w:tcW w:w="9776" w:type="dxa"/>
            <w:tcBorders>
              <w:top w:val="single" w:sz="4" w:space="0" w:color="auto"/>
              <w:left w:val="single" w:sz="4" w:space="0" w:color="auto"/>
              <w:bottom w:val="single" w:sz="4" w:space="0" w:color="auto"/>
              <w:right w:val="single" w:sz="4" w:space="0" w:color="auto"/>
            </w:tcBorders>
            <w:hideMark/>
          </w:tcPr>
          <w:p w14:paraId="4837417A" w14:textId="77777777" w:rsidR="001441D2" w:rsidRPr="001441D2" w:rsidRDefault="001441D2" w:rsidP="001441D2">
            <w:pPr>
              <w:keepNext/>
              <w:keepLines/>
              <w:overflowPunct w:val="0"/>
              <w:autoSpaceDE w:val="0"/>
              <w:autoSpaceDN w:val="0"/>
              <w:adjustRightInd w:val="0"/>
              <w:spacing w:after="0"/>
              <w:jc w:val="center"/>
              <w:textAlignment w:val="baseline"/>
              <w:rPr>
                <w:b/>
                <w:i/>
                <w:sz w:val="16"/>
                <w:szCs w:val="16"/>
                <w:lang w:eastAsia="ja-JP"/>
              </w:rPr>
            </w:pPr>
            <w:r w:rsidRPr="001441D2">
              <w:rPr>
                <w:b/>
                <w:i/>
                <w:sz w:val="16"/>
                <w:szCs w:val="16"/>
                <w:lang w:eastAsia="ja-JP"/>
              </w:rPr>
              <w:t>LBT-</w:t>
            </w:r>
            <w:proofErr w:type="spellStart"/>
            <w:r w:rsidRPr="001441D2">
              <w:rPr>
                <w:b/>
                <w:i/>
                <w:sz w:val="16"/>
                <w:szCs w:val="16"/>
                <w:lang w:eastAsia="ja-JP"/>
              </w:rPr>
              <w:t>FailureRecoveryConfig</w:t>
            </w:r>
            <w:proofErr w:type="spellEnd"/>
            <w:r w:rsidRPr="001441D2">
              <w:rPr>
                <w:b/>
                <w:i/>
                <w:sz w:val="16"/>
                <w:szCs w:val="16"/>
                <w:lang w:eastAsia="ja-JP"/>
              </w:rPr>
              <w:t xml:space="preserve"> field descriptions</w:t>
            </w:r>
          </w:p>
        </w:tc>
      </w:tr>
      <w:tr w:rsidR="001441D2" w:rsidRPr="001441D2" w14:paraId="6CF33CF7" w14:textId="77777777" w:rsidTr="001441D2">
        <w:tc>
          <w:tcPr>
            <w:tcW w:w="9776" w:type="dxa"/>
            <w:tcBorders>
              <w:top w:val="single" w:sz="4" w:space="0" w:color="auto"/>
              <w:left w:val="single" w:sz="4" w:space="0" w:color="auto"/>
              <w:bottom w:val="single" w:sz="4" w:space="0" w:color="auto"/>
              <w:right w:val="single" w:sz="4" w:space="0" w:color="auto"/>
            </w:tcBorders>
          </w:tcPr>
          <w:p w14:paraId="11AADB1F" w14:textId="77777777" w:rsidR="001441D2" w:rsidRPr="001441D2" w:rsidRDefault="001441D2" w:rsidP="001441D2">
            <w:pPr>
              <w:keepNext/>
              <w:keepLines/>
              <w:overflowPunct w:val="0"/>
              <w:autoSpaceDE w:val="0"/>
              <w:autoSpaceDN w:val="0"/>
              <w:adjustRightInd w:val="0"/>
              <w:spacing w:after="0"/>
              <w:textAlignment w:val="baseline"/>
              <w:rPr>
                <w:b/>
                <w:i/>
                <w:sz w:val="16"/>
                <w:szCs w:val="16"/>
                <w:lang w:val="en-US" w:eastAsia="en-GB"/>
              </w:rPr>
            </w:pPr>
            <w:r w:rsidRPr="001441D2">
              <w:rPr>
                <w:b/>
                <w:i/>
                <w:sz w:val="16"/>
                <w:szCs w:val="16"/>
                <w:lang w:val="x-none" w:eastAsia="x-none"/>
              </w:rPr>
              <w:t>lbt-FailureDetectionTimer</w:t>
            </w:r>
            <w:r w:rsidRPr="001441D2">
              <w:rPr>
                <w:b/>
                <w:i/>
                <w:sz w:val="16"/>
                <w:szCs w:val="16"/>
                <w:lang w:val="en-US" w:eastAsia="x-none"/>
              </w:rPr>
              <w:t>t</w:t>
            </w:r>
          </w:p>
          <w:p w14:paraId="62A4F260" w14:textId="77777777" w:rsidR="001441D2" w:rsidRPr="001441D2" w:rsidRDefault="001441D2" w:rsidP="001441D2">
            <w:pPr>
              <w:keepNext/>
              <w:keepLines/>
              <w:overflowPunct w:val="0"/>
              <w:autoSpaceDE w:val="0"/>
              <w:autoSpaceDN w:val="0"/>
              <w:adjustRightInd w:val="0"/>
              <w:spacing w:after="0"/>
              <w:textAlignment w:val="baseline"/>
              <w:rPr>
                <w:b/>
                <w:i/>
                <w:sz w:val="16"/>
                <w:szCs w:val="16"/>
                <w:lang w:val="x-none" w:eastAsia="x-none"/>
              </w:rPr>
            </w:pPr>
            <w:r w:rsidRPr="001441D2">
              <w:rPr>
                <w:i/>
                <w:sz w:val="16"/>
                <w:szCs w:val="16"/>
                <w:lang w:eastAsia="x-none"/>
              </w:rPr>
              <w:t xml:space="preserve">Timer for consistent uplink LBT failure detection (see TS 38.321 [3]). </w:t>
            </w:r>
            <w:r w:rsidRPr="001441D2">
              <w:rPr>
                <w:i/>
                <w:sz w:val="16"/>
                <w:szCs w:val="16"/>
                <w:lang w:eastAsia="ja-JP"/>
              </w:rPr>
              <w:t xml:space="preserve">Value </w:t>
            </w:r>
            <w:r w:rsidRPr="001441D2">
              <w:rPr>
                <w:i/>
                <w:sz w:val="16"/>
                <w:szCs w:val="16"/>
                <w:lang w:eastAsia="x-none"/>
              </w:rPr>
              <w:t>ms10</w:t>
            </w:r>
            <w:r w:rsidRPr="001441D2">
              <w:rPr>
                <w:i/>
                <w:sz w:val="16"/>
                <w:szCs w:val="16"/>
                <w:lang w:eastAsia="ja-JP"/>
              </w:rPr>
              <w:t xml:space="preserve"> corresponds to 10 </w:t>
            </w:r>
            <w:proofErr w:type="spellStart"/>
            <w:r w:rsidRPr="001441D2">
              <w:rPr>
                <w:i/>
                <w:sz w:val="16"/>
                <w:szCs w:val="16"/>
                <w:lang w:eastAsia="ja-JP"/>
              </w:rPr>
              <w:t>ms</w:t>
            </w:r>
            <w:proofErr w:type="spellEnd"/>
            <w:r w:rsidRPr="001441D2">
              <w:rPr>
                <w:i/>
                <w:sz w:val="16"/>
                <w:szCs w:val="16"/>
                <w:lang w:eastAsia="ja-JP"/>
              </w:rPr>
              <w:t xml:space="preserve">, value </w:t>
            </w:r>
            <w:r w:rsidRPr="001441D2">
              <w:rPr>
                <w:i/>
                <w:sz w:val="16"/>
                <w:szCs w:val="16"/>
                <w:lang w:eastAsia="x-none"/>
              </w:rPr>
              <w:t>ms20</w:t>
            </w:r>
            <w:r w:rsidRPr="001441D2">
              <w:rPr>
                <w:i/>
                <w:sz w:val="16"/>
                <w:szCs w:val="16"/>
                <w:lang w:eastAsia="ja-JP"/>
              </w:rPr>
              <w:t xml:space="preserve"> corresponds to 20 </w:t>
            </w:r>
            <w:proofErr w:type="spellStart"/>
            <w:r w:rsidRPr="001441D2">
              <w:rPr>
                <w:i/>
                <w:sz w:val="16"/>
                <w:szCs w:val="16"/>
                <w:lang w:eastAsia="ja-JP"/>
              </w:rPr>
              <w:t>ms</w:t>
            </w:r>
            <w:proofErr w:type="spellEnd"/>
            <w:r w:rsidRPr="001441D2">
              <w:rPr>
                <w:i/>
                <w:sz w:val="16"/>
                <w:szCs w:val="16"/>
                <w:lang w:eastAsia="ja-JP"/>
              </w:rPr>
              <w:t>, and so on.</w:t>
            </w:r>
          </w:p>
        </w:tc>
      </w:tr>
      <w:tr w:rsidR="001441D2" w:rsidRPr="001441D2" w14:paraId="3D8CE144" w14:textId="77777777" w:rsidTr="001441D2">
        <w:tc>
          <w:tcPr>
            <w:tcW w:w="9776" w:type="dxa"/>
            <w:tcBorders>
              <w:top w:val="single" w:sz="4" w:space="0" w:color="auto"/>
              <w:left w:val="single" w:sz="4" w:space="0" w:color="auto"/>
              <w:bottom w:val="single" w:sz="4" w:space="0" w:color="auto"/>
              <w:right w:val="single" w:sz="4" w:space="0" w:color="auto"/>
            </w:tcBorders>
            <w:hideMark/>
          </w:tcPr>
          <w:p w14:paraId="4A76C5BE" w14:textId="77777777" w:rsidR="001441D2" w:rsidRPr="001441D2" w:rsidRDefault="001441D2" w:rsidP="001441D2">
            <w:pPr>
              <w:keepNext/>
              <w:keepLines/>
              <w:overflowPunct w:val="0"/>
              <w:autoSpaceDE w:val="0"/>
              <w:autoSpaceDN w:val="0"/>
              <w:adjustRightInd w:val="0"/>
              <w:spacing w:after="0"/>
              <w:textAlignment w:val="baseline"/>
              <w:rPr>
                <w:b/>
                <w:i/>
                <w:sz w:val="16"/>
                <w:szCs w:val="16"/>
                <w:lang w:val="en-US" w:eastAsia="en-GB"/>
              </w:rPr>
            </w:pPr>
            <w:r w:rsidRPr="001441D2">
              <w:rPr>
                <w:b/>
                <w:i/>
                <w:sz w:val="16"/>
                <w:szCs w:val="16"/>
                <w:lang w:val="x-none" w:eastAsia="x-none"/>
              </w:rPr>
              <w:t>lbt-FailureInstanceMaxCoun</w:t>
            </w:r>
            <w:r w:rsidRPr="001441D2">
              <w:rPr>
                <w:b/>
                <w:i/>
                <w:sz w:val="16"/>
                <w:szCs w:val="16"/>
                <w:lang w:val="en-US" w:eastAsia="x-none"/>
              </w:rPr>
              <w:t>t</w:t>
            </w:r>
          </w:p>
          <w:p w14:paraId="498CE729" w14:textId="77777777" w:rsidR="001441D2" w:rsidRPr="001441D2" w:rsidRDefault="001441D2" w:rsidP="001441D2">
            <w:pPr>
              <w:keepNext/>
              <w:keepLines/>
              <w:overflowPunct w:val="0"/>
              <w:autoSpaceDE w:val="0"/>
              <w:autoSpaceDN w:val="0"/>
              <w:adjustRightInd w:val="0"/>
              <w:spacing w:after="0"/>
              <w:textAlignment w:val="baseline"/>
              <w:rPr>
                <w:b/>
                <w:i/>
                <w:sz w:val="16"/>
                <w:szCs w:val="16"/>
                <w:lang w:eastAsia="ja-JP"/>
              </w:rPr>
            </w:pPr>
            <w:r w:rsidRPr="001441D2">
              <w:rPr>
                <w:i/>
                <w:sz w:val="16"/>
                <w:szCs w:val="16"/>
                <w:lang w:val="x-none" w:eastAsia="x-none"/>
              </w:rPr>
              <w:t xml:space="preserve">This field determines after how many consistent uplink LBT failure events the UE triggers uplink LBT failure recovery (see TS 38.321 </w:t>
            </w:r>
            <w:r w:rsidRPr="001441D2">
              <w:rPr>
                <w:i/>
                <w:sz w:val="16"/>
                <w:szCs w:val="16"/>
                <w:lang w:eastAsia="en-GB"/>
              </w:rPr>
              <w:t>[3]).</w:t>
            </w:r>
          </w:p>
        </w:tc>
      </w:tr>
    </w:tbl>
    <w:p w14:paraId="53BD6A21" w14:textId="77777777" w:rsidR="001441D2" w:rsidRPr="00325D1F" w:rsidRDefault="001441D2" w:rsidP="0064657F">
      <w:pPr>
        <w:pBdr>
          <w:bottom w:val="single" w:sz="4" w:space="1" w:color="auto"/>
        </w:pBdr>
        <w:rPr>
          <w:rFonts w:eastAsia="SimSun"/>
        </w:rPr>
      </w:pPr>
    </w:p>
    <w:p w14:paraId="796347A1" w14:textId="182516AA" w:rsidR="00720190" w:rsidRDefault="00256FFB" w:rsidP="00263CD4">
      <w:pPr>
        <w:pStyle w:val="Heading1"/>
        <w:numPr>
          <w:ilvl w:val="0"/>
          <w:numId w:val="17"/>
        </w:numPr>
        <w:spacing w:before="360" w:after="0"/>
      </w:pPr>
      <w:r w:rsidRPr="00F64287">
        <w:t xml:space="preserve">UL BWP switching </w:t>
      </w:r>
      <w:r>
        <w:t>requirements</w:t>
      </w:r>
    </w:p>
    <w:p w14:paraId="19A941D2" w14:textId="0D4EDF8C" w:rsidR="004F64D9" w:rsidRDefault="0019054D" w:rsidP="00040DFB">
      <w:pPr>
        <w:spacing w:before="240" w:after="0"/>
        <w:rPr>
          <w:sz w:val="22"/>
          <w:szCs w:val="22"/>
        </w:rPr>
      </w:pPr>
      <w:r>
        <w:rPr>
          <w:sz w:val="22"/>
          <w:szCs w:val="22"/>
        </w:rPr>
        <w:t xml:space="preserve">Based on the RAN2 agreements as described in section 2, it is evident that upon consistent UL </w:t>
      </w:r>
      <w:r w:rsidR="00D66052">
        <w:rPr>
          <w:sz w:val="22"/>
          <w:szCs w:val="22"/>
        </w:rPr>
        <w:t xml:space="preserve">LBT failures on </w:t>
      </w:r>
      <w:proofErr w:type="spellStart"/>
      <w:r w:rsidR="00D66052">
        <w:rPr>
          <w:sz w:val="22"/>
          <w:szCs w:val="22"/>
        </w:rPr>
        <w:t>SpCell</w:t>
      </w:r>
      <w:proofErr w:type="spellEnd"/>
      <w:r w:rsidR="00D66052">
        <w:rPr>
          <w:sz w:val="22"/>
          <w:szCs w:val="22"/>
        </w:rPr>
        <w:t xml:space="preserve"> </w:t>
      </w:r>
      <w:r>
        <w:rPr>
          <w:sz w:val="22"/>
          <w:szCs w:val="22"/>
        </w:rPr>
        <w:t xml:space="preserve">the UE shall trigger the UL BWP switching if configured with RACH resources on that cell. </w:t>
      </w:r>
      <w:r w:rsidR="00D66052">
        <w:rPr>
          <w:sz w:val="22"/>
          <w:szCs w:val="22"/>
        </w:rPr>
        <w:t>Therefore, RAN4 needs to specify the UL BWP switching requirements when consistent UL LBT failure</w:t>
      </w:r>
      <w:r w:rsidR="004F64D9">
        <w:rPr>
          <w:sz w:val="22"/>
          <w:szCs w:val="22"/>
        </w:rPr>
        <w:t xml:space="preserve">s is triggered </w:t>
      </w:r>
      <w:r w:rsidR="00D66052">
        <w:rPr>
          <w:sz w:val="22"/>
          <w:szCs w:val="22"/>
        </w:rPr>
        <w:t xml:space="preserve">on </w:t>
      </w:r>
      <w:proofErr w:type="spellStart"/>
      <w:r w:rsidR="00D66052">
        <w:rPr>
          <w:sz w:val="22"/>
          <w:szCs w:val="22"/>
        </w:rPr>
        <w:t>SpCell</w:t>
      </w:r>
      <w:proofErr w:type="spellEnd"/>
      <w:r w:rsidR="00D66052">
        <w:rPr>
          <w:sz w:val="22"/>
          <w:szCs w:val="22"/>
        </w:rPr>
        <w:t xml:space="preserve">. </w:t>
      </w:r>
    </w:p>
    <w:p w14:paraId="12B63939" w14:textId="77777777" w:rsidR="00126633" w:rsidRDefault="004F64D9" w:rsidP="00040DFB">
      <w:pPr>
        <w:spacing w:before="240" w:after="0"/>
        <w:rPr>
          <w:sz w:val="22"/>
          <w:szCs w:val="22"/>
        </w:rPr>
      </w:pPr>
      <w:r>
        <w:rPr>
          <w:sz w:val="22"/>
          <w:szCs w:val="22"/>
        </w:rPr>
        <w:t xml:space="preserve">According to option 1 in the approved WF [1], the requirements for </w:t>
      </w:r>
      <w:r w:rsidRPr="004F64D9">
        <w:rPr>
          <w:sz w:val="22"/>
          <w:szCs w:val="22"/>
        </w:rPr>
        <w:t xml:space="preserve">UL BWP switching triggered by </w:t>
      </w:r>
      <w:r w:rsidRPr="005705AF">
        <w:rPr>
          <w:sz w:val="22"/>
          <w:szCs w:val="22"/>
        </w:rPr>
        <w:t xml:space="preserve">consistent UL LBT failures should follow DCI-based and timer-based UL BWP switching requirements. The </w:t>
      </w:r>
      <w:r w:rsidR="00D66052" w:rsidRPr="005705AF">
        <w:rPr>
          <w:sz w:val="22"/>
          <w:szCs w:val="22"/>
        </w:rPr>
        <w:t xml:space="preserve">UL BWP switching </w:t>
      </w:r>
      <w:r w:rsidRPr="005705AF">
        <w:rPr>
          <w:sz w:val="22"/>
          <w:szCs w:val="22"/>
        </w:rPr>
        <w:t xml:space="preserve">to another UL BWP in the </w:t>
      </w:r>
      <w:proofErr w:type="spellStart"/>
      <w:r w:rsidRPr="005705AF">
        <w:rPr>
          <w:sz w:val="22"/>
          <w:szCs w:val="22"/>
        </w:rPr>
        <w:t>SpCell</w:t>
      </w:r>
      <w:proofErr w:type="spellEnd"/>
      <w:r w:rsidRPr="005705AF">
        <w:rPr>
          <w:sz w:val="22"/>
          <w:szCs w:val="22"/>
        </w:rPr>
        <w:t xml:space="preserve"> will be triggered by the UE autonomously. It </w:t>
      </w:r>
      <w:r w:rsidR="00D66052" w:rsidRPr="005705AF">
        <w:rPr>
          <w:sz w:val="22"/>
          <w:szCs w:val="22"/>
        </w:rPr>
        <w:t xml:space="preserve">is </w:t>
      </w:r>
      <w:r w:rsidRPr="005705AF">
        <w:rPr>
          <w:sz w:val="22"/>
          <w:szCs w:val="22"/>
        </w:rPr>
        <w:t xml:space="preserve">therefore </w:t>
      </w:r>
      <w:r w:rsidR="00D66052" w:rsidRPr="005705AF">
        <w:rPr>
          <w:sz w:val="22"/>
          <w:szCs w:val="22"/>
        </w:rPr>
        <w:t xml:space="preserve">analogous to DCI-based or timer-based UL BWP switching. </w:t>
      </w:r>
    </w:p>
    <w:p w14:paraId="58EDA655" w14:textId="77777777" w:rsidR="00126633" w:rsidRDefault="00D66052" w:rsidP="00040DFB">
      <w:pPr>
        <w:spacing w:before="240" w:after="0"/>
        <w:rPr>
          <w:sz w:val="22"/>
          <w:szCs w:val="22"/>
        </w:rPr>
      </w:pPr>
      <w:r w:rsidRPr="005705AF">
        <w:rPr>
          <w:sz w:val="22"/>
          <w:szCs w:val="22"/>
        </w:rPr>
        <w:t>Therefore</w:t>
      </w:r>
      <w:r w:rsidR="004F64D9" w:rsidRPr="005705AF">
        <w:rPr>
          <w:sz w:val="22"/>
          <w:szCs w:val="22"/>
        </w:rPr>
        <w:t xml:space="preserve">, we support option 1 in </w:t>
      </w:r>
      <w:r w:rsidRPr="005705AF">
        <w:rPr>
          <w:sz w:val="22"/>
          <w:szCs w:val="22"/>
        </w:rPr>
        <w:t xml:space="preserve">the </w:t>
      </w:r>
      <w:r w:rsidR="004F64D9" w:rsidRPr="005705AF">
        <w:rPr>
          <w:sz w:val="22"/>
          <w:szCs w:val="22"/>
        </w:rPr>
        <w:t xml:space="preserve">WF and the </w:t>
      </w:r>
      <w:r w:rsidRPr="005705AF">
        <w:rPr>
          <w:sz w:val="22"/>
          <w:szCs w:val="22"/>
        </w:rPr>
        <w:t xml:space="preserve">existing UL BWP switching delay and interruption defined for DCI- </w:t>
      </w:r>
      <w:r w:rsidR="00765998" w:rsidRPr="005705AF">
        <w:rPr>
          <w:sz w:val="22"/>
          <w:szCs w:val="22"/>
        </w:rPr>
        <w:t>and</w:t>
      </w:r>
      <w:r w:rsidRPr="005705AF">
        <w:rPr>
          <w:sz w:val="22"/>
          <w:szCs w:val="22"/>
        </w:rPr>
        <w:t xml:space="preserve"> timer-based UL BWP switching in section 8.6.2 of TS 38.133 can be reused. </w:t>
      </w:r>
    </w:p>
    <w:p w14:paraId="60AC2F34" w14:textId="77777777" w:rsidR="00126633" w:rsidRDefault="004F64D9" w:rsidP="00040DFB">
      <w:pPr>
        <w:spacing w:before="240" w:after="0"/>
        <w:rPr>
          <w:sz w:val="22"/>
          <w:szCs w:val="22"/>
        </w:rPr>
      </w:pPr>
      <w:r w:rsidRPr="005705AF">
        <w:rPr>
          <w:sz w:val="22"/>
          <w:szCs w:val="22"/>
        </w:rPr>
        <w:t>Similarly</w:t>
      </w:r>
      <w:r w:rsidR="00765998" w:rsidRPr="005705AF">
        <w:rPr>
          <w:sz w:val="22"/>
          <w:szCs w:val="22"/>
        </w:rPr>
        <w:t>,</w:t>
      </w:r>
      <w:r w:rsidRPr="005705AF">
        <w:rPr>
          <w:sz w:val="22"/>
          <w:szCs w:val="22"/>
        </w:rPr>
        <w:t xml:space="preserve"> t</w:t>
      </w:r>
      <w:r w:rsidR="003E728B" w:rsidRPr="005705AF">
        <w:rPr>
          <w:sz w:val="22"/>
          <w:szCs w:val="22"/>
        </w:rPr>
        <w:t xml:space="preserve">he interruption requirements </w:t>
      </w:r>
      <w:r w:rsidR="00016DC7" w:rsidRPr="005705AF">
        <w:rPr>
          <w:sz w:val="22"/>
          <w:szCs w:val="22"/>
        </w:rPr>
        <w:t xml:space="preserve">for interruption on the NR serving cells </w:t>
      </w:r>
      <w:r w:rsidR="003E728B" w:rsidRPr="005705AF">
        <w:rPr>
          <w:sz w:val="22"/>
          <w:szCs w:val="22"/>
        </w:rPr>
        <w:t>defined for DCI- or timer-based UL BWP switching in section 8.2.2.2.5 for CA</w:t>
      </w:r>
      <w:r w:rsidR="005705AF" w:rsidRPr="005705AF">
        <w:rPr>
          <w:sz w:val="22"/>
          <w:szCs w:val="22"/>
        </w:rPr>
        <w:t xml:space="preserve">, section </w:t>
      </w:r>
      <w:r w:rsidR="003E728B" w:rsidRPr="005705AF">
        <w:rPr>
          <w:sz w:val="22"/>
          <w:szCs w:val="22"/>
        </w:rPr>
        <w:t>8.2.4.2.5 for NR-D</w:t>
      </w:r>
      <w:r w:rsidR="005705AF" w:rsidRPr="005705AF">
        <w:rPr>
          <w:sz w:val="22"/>
          <w:szCs w:val="22"/>
        </w:rPr>
        <w:t xml:space="preserve">C, section 8.2.1.2.7 for EN-DC and section 8.2.3.2.7 for NE-DC </w:t>
      </w:r>
      <w:r w:rsidR="003E728B" w:rsidRPr="005705AF">
        <w:rPr>
          <w:sz w:val="22"/>
          <w:szCs w:val="22"/>
        </w:rPr>
        <w:t xml:space="preserve">of TS 38.133 can be reused. </w:t>
      </w:r>
    </w:p>
    <w:p w14:paraId="634C1649" w14:textId="3012EA1D" w:rsidR="004F64D9" w:rsidRDefault="00016DC7" w:rsidP="00040DFB">
      <w:pPr>
        <w:spacing w:before="240" w:after="0"/>
        <w:rPr>
          <w:sz w:val="22"/>
          <w:szCs w:val="22"/>
        </w:rPr>
      </w:pPr>
      <w:r w:rsidRPr="005705AF">
        <w:rPr>
          <w:sz w:val="22"/>
          <w:szCs w:val="22"/>
        </w:rPr>
        <w:t xml:space="preserve">Also, the interruption requirements for interruption on the LTE serving cells defined for DCI- or timer-based UL BWP switching in sections </w:t>
      </w:r>
      <w:r w:rsidR="001F460D" w:rsidRPr="005705AF">
        <w:rPr>
          <w:sz w:val="22"/>
          <w:szCs w:val="22"/>
        </w:rPr>
        <w:t xml:space="preserve">7.32.2.7 </w:t>
      </w:r>
      <w:r w:rsidRPr="005705AF">
        <w:rPr>
          <w:sz w:val="22"/>
          <w:szCs w:val="22"/>
        </w:rPr>
        <w:t xml:space="preserve">for NR-DC and </w:t>
      </w:r>
      <w:r w:rsidR="001F460D" w:rsidRPr="005705AF">
        <w:rPr>
          <w:sz w:val="22"/>
          <w:szCs w:val="22"/>
        </w:rPr>
        <w:t xml:space="preserve">7.36.2.6 </w:t>
      </w:r>
      <w:r w:rsidRPr="005705AF">
        <w:rPr>
          <w:sz w:val="22"/>
          <w:szCs w:val="22"/>
        </w:rPr>
        <w:t>for NE-DC of TS 36.133 can be reused.</w:t>
      </w:r>
    </w:p>
    <w:p w14:paraId="45C1AC25" w14:textId="03A9FAC4" w:rsidR="00CC6F36" w:rsidRPr="00263CD4" w:rsidRDefault="00CC6F36" w:rsidP="00263CD4">
      <w:pPr>
        <w:pStyle w:val="ListParagraph"/>
        <w:keepNext/>
        <w:keepLines/>
        <w:numPr>
          <w:ilvl w:val="0"/>
          <w:numId w:val="17"/>
        </w:numPr>
        <w:pBdr>
          <w:top w:val="single" w:sz="12" w:space="3" w:color="auto"/>
        </w:pBdr>
        <w:spacing w:before="360" w:after="120"/>
        <w:outlineLvl w:val="0"/>
        <w:rPr>
          <w:sz w:val="36"/>
        </w:rPr>
      </w:pPr>
      <w:r w:rsidRPr="00263CD4">
        <w:rPr>
          <w:sz w:val="36"/>
        </w:rPr>
        <w:t>Summary</w:t>
      </w:r>
    </w:p>
    <w:p w14:paraId="68DD4626" w14:textId="5A02652E" w:rsidR="00C620BC" w:rsidRPr="003E728B" w:rsidRDefault="00CC6F36" w:rsidP="003C4CA3">
      <w:pPr>
        <w:overflowPunct w:val="0"/>
        <w:autoSpaceDE w:val="0"/>
        <w:autoSpaceDN w:val="0"/>
        <w:adjustRightInd w:val="0"/>
        <w:spacing w:after="0"/>
        <w:textAlignment w:val="baseline"/>
        <w:rPr>
          <w:sz w:val="22"/>
          <w:szCs w:val="22"/>
        </w:rPr>
      </w:pPr>
      <w:r w:rsidRPr="00990C15">
        <w:rPr>
          <w:sz w:val="22"/>
          <w:szCs w:val="22"/>
        </w:rPr>
        <w:t xml:space="preserve">In this paper we </w:t>
      </w:r>
      <w:r w:rsidR="004D50F4">
        <w:rPr>
          <w:sz w:val="22"/>
          <w:szCs w:val="22"/>
        </w:rPr>
        <w:t>have analysed</w:t>
      </w:r>
      <w:r w:rsidR="000F78C5">
        <w:rPr>
          <w:sz w:val="22"/>
          <w:szCs w:val="22"/>
        </w:rPr>
        <w:t xml:space="preserve"> </w:t>
      </w:r>
      <w:r w:rsidR="00D95AAA">
        <w:rPr>
          <w:sz w:val="22"/>
          <w:szCs w:val="22"/>
          <w:lang w:val="en-US"/>
        </w:rPr>
        <w:t xml:space="preserve">the </w:t>
      </w:r>
      <w:r w:rsidR="005F3A09">
        <w:rPr>
          <w:sz w:val="22"/>
          <w:szCs w:val="22"/>
          <w:lang w:val="en-US"/>
        </w:rPr>
        <w:t xml:space="preserve">impact of triggering the </w:t>
      </w:r>
      <w:r w:rsidR="00D95AAA">
        <w:rPr>
          <w:sz w:val="22"/>
          <w:szCs w:val="22"/>
          <w:lang w:val="en-US"/>
        </w:rPr>
        <w:t xml:space="preserve">BWP switching due to </w:t>
      </w:r>
      <w:r w:rsidR="00D95AAA" w:rsidRPr="00A40679">
        <w:rPr>
          <w:sz w:val="22"/>
          <w:szCs w:val="22"/>
          <w:lang w:val="en-US"/>
        </w:rPr>
        <w:t xml:space="preserve">consistent UL LBT </w:t>
      </w:r>
      <w:r w:rsidR="00D95AAA" w:rsidRPr="003E728B">
        <w:rPr>
          <w:sz w:val="22"/>
          <w:szCs w:val="22"/>
          <w:lang w:val="en-US"/>
        </w:rPr>
        <w:t>failure</w:t>
      </w:r>
      <w:r w:rsidR="005F3A09" w:rsidRPr="003E728B">
        <w:rPr>
          <w:sz w:val="22"/>
          <w:szCs w:val="22"/>
          <w:lang w:val="en-US"/>
        </w:rPr>
        <w:t xml:space="preserve">. We have </w:t>
      </w:r>
      <w:r w:rsidR="00866C7D" w:rsidRPr="003E728B">
        <w:rPr>
          <w:sz w:val="22"/>
          <w:szCs w:val="22"/>
        </w:rPr>
        <w:t xml:space="preserve">proposed </w:t>
      </w:r>
      <w:r w:rsidR="005F3A09" w:rsidRPr="003E728B">
        <w:rPr>
          <w:sz w:val="22"/>
          <w:szCs w:val="22"/>
        </w:rPr>
        <w:t xml:space="preserve">that </w:t>
      </w:r>
      <w:r w:rsidR="005F3A09" w:rsidRPr="003E728B">
        <w:rPr>
          <w:sz w:val="22"/>
          <w:szCs w:val="22"/>
          <w:lang w:val="en-US"/>
        </w:rPr>
        <w:t>BWP switching requirements triggered due to consistent UL LBT failure</w:t>
      </w:r>
      <w:r w:rsidR="005F3A09" w:rsidRPr="003E728B">
        <w:rPr>
          <w:sz w:val="22"/>
          <w:szCs w:val="22"/>
        </w:rPr>
        <w:t xml:space="preserve"> </w:t>
      </w:r>
      <w:r w:rsidR="00866C7D" w:rsidRPr="003E728B">
        <w:rPr>
          <w:sz w:val="22"/>
          <w:szCs w:val="22"/>
        </w:rPr>
        <w:t xml:space="preserve">UE </w:t>
      </w:r>
      <w:r w:rsidR="005F3A09" w:rsidRPr="003E728B">
        <w:rPr>
          <w:sz w:val="22"/>
          <w:szCs w:val="22"/>
        </w:rPr>
        <w:t xml:space="preserve">are specified </w:t>
      </w:r>
      <w:r w:rsidR="00C620BC" w:rsidRPr="003E728B">
        <w:rPr>
          <w:sz w:val="22"/>
          <w:szCs w:val="22"/>
        </w:rPr>
        <w:t xml:space="preserve">to ensure the UE does BWP switching within the specified delay. </w:t>
      </w:r>
      <w:bookmarkStart w:id="2" w:name="_Hlk23953093"/>
    </w:p>
    <w:p w14:paraId="28F06C1B" w14:textId="7254C0EA" w:rsidR="003E728B" w:rsidRPr="003E728B" w:rsidRDefault="003E728B" w:rsidP="003C4CA3">
      <w:pPr>
        <w:overflowPunct w:val="0"/>
        <w:autoSpaceDE w:val="0"/>
        <w:autoSpaceDN w:val="0"/>
        <w:adjustRightInd w:val="0"/>
        <w:spacing w:after="0"/>
        <w:textAlignment w:val="baseline"/>
        <w:rPr>
          <w:sz w:val="22"/>
          <w:szCs w:val="22"/>
        </w:rPr>
      </w:pPr>
    </w:p>
    <w:p w14:paraId="3879D5C8" w14:textId="383800CF" w:rsidR="003E728B" w:rsidRPr="003E728B" w:rsidRDefault="003E728B" w:rsidP="003E728B">
      <w:pPr>
        <w:pStyle w:val="ListParagraph"/>
        <w:numPr>
          <w:ilvl w:val="0"/>
          <w:numId w:val="13"/>
        </w:numPr>
        <w:overflowPunct w:val="0"/>
        <w:autoSpaceDE w:val="0"/>
        <w:autoSpaceDN w:val="0"/>
        <w:adjustRightInd w:val="0"/>
        <w:textAlignment w:val="baseline"/>
        <w:rPr>
          <w:rFonts w:ascii="Times New Roman" w:hAnsi="Times New Roman"/>
          <w:szCs w:val="22"/>
        </w:rPr>
      </w:pPr>
      <w:r w:rsidRPr="003E728B">
        <w:rPr>
          <w:rFonts w:ascii="Times New Roman" w:hAnsi="Times New Roman"/>
          <w:b/>
          <w:bCs/>
          <w:szCs w:val="22"/>
        </w:rPr>
        <w:t>Observation # 1</w:t>
      </w:r>
      <w:r w:rsidRPr="003E728B">
        <w:rPr>
          <w:rFonts w:ascii="Times New Roman" w:hAnsi="Times New Roman"/>
          <w:szCs w:val="22"/>
        </w:rPr>
        <w:t xml:space="preserve">: Upon consistent UL LBT failures on </w:t>
      </w:r>
      <w:proofErr w:type="spellStart"/>
      <w:r w:rsidRPr="003E728B">
        <w:rPr>
          <w:rFonts w:ascii="Times New Roman" w:hAnsi="Times New Roman"/>
          <w:szCs w:val="22"/>
        </w:rPr>
        <w:t>SpCell</w:t>
      </w:r>
      <w:proofErr w:type="spellEnd"/>
      <w:r w:rsidRPr="003E728B">
        <w:rPr>
          <w:rFonts w:ascii="Times New Roman" w:hAnsi="Times New Roman"/>
          <w:szCs w:val="22"/>
        </w:rPr>
        <w:t xml:space="preserve"> the UE triggers the UL BWP switching if configured with RACH resources on th</w:t>
      </w:r>
      <w:r w:rsidR="00765998">
        <w:rPr>
          <w:rFonts w:ascii="Times New Roman" w:hAnsi="Times New Roman"/>
          <w:szCs w:val="22"/>
        </w:rPr>
        <w:t xml:space="preserve">at </w:t>
      </w:r>
      <w:proofErr w:type="spellStart"/>
      <w:r w:rsidR="00765998">
        <w:rPr>
          <w:rFonts w:ascii="Times New Roman" w:hAnsi="Times New Roman"/>
          <w:szCs w:val="22"/>
        </w:rPr>
        <w:t>SpCell</w:t>
      </w:r>
      <w:proofErr w:type="spellEnd"/>
      <w:r w:rsidRPr="003E728B">
        <w:rPr>
          <w:rFonts w:ascii="Times New Roman" w:hAnsi="Times New Roman"/>
          <w:szCs w:val="22"/>
        </w:rPr>
        <w:t>.</w:t>
      </w:r>
    </w:p>
    <w:p w14:paraId="103FE8E0" w14:textId="7D26E47A" w:rsidR="003E728B" w:rsidRPr="00274CDB" w:rsidRDefault="003E728B" w:rsidP="003E728B">
      <w:pPr>
        <w:pStyle w:val="ListParagraph"/>
        <w:numPr>
          <w:ilvl w:val="0"/>
          <w:numId w:val="13"/>
        </w:numPr>
        <w:spacing w:before="240"/>
        <w:contextualSpacing w:val="0"/>
        <w:rPr>
          <w:rFonts w:ascii="Times New Roman" w:hAnsi="Times New Roman"/>
          <w:b/>
          <w:bCs/>
          <w:szCs w:val="22"/>
        </w:rPr>
      </w:pPr>
      <w:r w:rsidRPr="003E728B">
        <w:rPr>
          <w:rFonts w:ascii="Times New Roman" w:hAnsi="Times New Roman"/>
          <w:b/>
          <w:bCs/>
          <w:szCs w:val="22"/>
        </w:rPr>
        <w:t xml:space="preserve">Proposal # 1: </w:t>
      </w:r>
      <w:r w:rsidR="00765998">
        <w:rPr>
          <w:rFonts w:ascii="Times New Roman" w:hAnsi="Times New Roman"/>
          <w:szCs w:val="22"/>
        </w:rPr>
        <w:t>D</w:t>
      </w:r>
      <w:r w:rsidRPr="003E728B">
        <w:rPr>
          <w:rFonts w:ascii="Times New Roman" w:hAnsi="Times New Roman"/>
          <w:szCs w:val="22"/>
        </w:rPr>
        <w:t xml:space="preserve">elay </w:t>
      </w:r>
      <w:r w:rsidR="00765998">
        <w:rPr>
          <w:rFonts w:ascii="Times New Roman" w:hAnsi="Times New Roman"/>
          <w:szCs w:val="22"/>
        </w:rPr>
        <w:t xml:space="preserve">for </w:t>
      </w:r>
      <w:bookmarkStart w:id="3" w:name="_Hlk37338193"/>
      <w:r w:rsidR="00765998" w:rsidRPr="003E728B">
        <w:rPr>
          <w:rFonts w:ascii="Times New Roman" w:hAnsi="Times New Roman"/>
          <w:szCs w:val="22"/>
        </w:rPr>
        <w:t xml:space="preserve">UL BWP switching </w:t>
      </w:r>
      <w:r w:rsidR="00765998">
        <w:rPr>
          <w:rFonts w:ascii="Times New Roman" w:hAnsi="Times New Roman"/>
          <w:szCs w:val="22"/>
        </w:rPr>
        <w:t xml:space="preserve">in </w:t>
      </w:r>
      <w:proofErr w:type="spellStart"/>
      <w:r w:rsidR="00765998">
        <w:rPr>
          <w:rFonts w:ascii="Times New Roman" w:hAnsi="Times New Roman"/>
          <w:szCs w:val="22"/>
        </w:rPr>
        <w:t>SpCell</w:t>
      </w:r>
      <w:proofErr w:type="spellEnd"/>
      <w:r w:rsidR="00765998">
        <w:rPr>
          <w:rFonts w:ascii="Times New Roman" w:hAnsi="Times New Roman"/>
          <w:szCs w:val="22"/>
        </w:rPr>
        <w:t xml:space="preserve"> triggered by </w:t>
      </w:r>
      <w:r w:rsidR="00765998" w:rsidRPr="00765998">
        <w:rPr>
          <w:rFonts w:ascii="Times New Roman" w:hAnsi="Times New Roman"/>
          <w:szCs w:val="22"/>
        </w:rPr>
        <w:t>consistent UL LBT failure</w:t>
      </w:r>
      <w:r w:rsidR="00765998">
        <w:rPr>
          <w:rFonts w:ascii="Times New Roman" w:hAnsi="Times New Roman"/>
          <w:szCs w:val="22"/>
        </w:rPr>
        <w:t>s shall follo</w:t>
      </w:r>
      <w:bookmarkEnd w:id="3"/>
      <w:r w:rsidR="00765998">
        <w:rPr>
          <w:rFonts w:ascii="Times New Roman" w:hAnsi="Times New Roman"/>
          <w:szCs w:val="22"/>
        </w:rPr>
        <w:t>w the existing</w:t>
      </w:r>
      <w:r w:rsidR="00765998" w:rsidRPr="00765998">
        <w:t xml:space="preserve"> </w:t>
      </w:r>
      <w:r w:rsidR="00765998" w:rsidRPr="00765998">
        <w:rPr>
          <w:rFonts w:ascii="Times New Roman" w:hAnsi="Times New Roman"/>
          <w:szCs w:val="22"/>
        </w:rPr>
        <w:t xml:space="preserve">DCI-based </w:t>
      </w:r>
      <w:r w:rsidR="00765998">
        <w:rPr>
          <w:rFonts w:ascii="Times New Roman" w:hAnsi="Times New Roman"/>
          <w:szCs w:val="22"/>
        </w:rPr>
        <w:t xml:space="preserve">and </w:t>
      </w:r>
      <w:r w:rsidR="00765998" w:rsidRPr="00765998">
        <w:rPr>
          <w:rFonts w:ascii="Times New Roman" w:hAnsi="Times New Roman"/>
          <w:szCs w:val="22"/>
        </w:rPr>
        <w:t xml:space="preserve">timer-based UL BWP switching </w:t>
      </w:r>
      <w:r w:rsidR="00765998">
        <w:rPr>
          <w:rFonts w:ascii="Times New Roman" w:hAnsi="Times New Roman"/>
          <w:szCs w:val="22"/>
        </w:rPr>
        <w:t xml:space="preserve">delay defined in </w:t>
      </w:r>
      <w:r w:rsidR="00765998" w:rsidRPr="00765998">
        <w:rPr>
          <w:rFonts w:ascii="Times New Roman" w:hAnsi="Times New Roman"/>
          <w:szCs w:val="22"/>
        </w:rPr>
        <w:t>section 8.6.2 of TS 38.133</w:t>
      </w:r>
      <w:r w:rsidRPr="003E728B">
        <w:rPr>
          <w:rFonts w:ascii="Times New Roman" w:hAnsi="Times New Roman"/>
          <w:szCs w:val="22"/>
        </w:rPr>
        <w:t>.</w:t>
      </w:r>
    </w:p>
    <w:p w14:paraId="3EF52307" w14:textId="09CF2225" w:rsidR="00274CDB" w:rsidRPr="00274CDB" w:rsidRDefault="00274CDB" w:rsidP="00274CDB">
      <w:pPr>
        <w:pStyle w:val="ListParagraph"/>
        <w:numPr>
          <w:ilvl w:val="0"/>
          <w:numId w:val="13"/>
        </w:numPr>
        <w:spacing w:before="240"/>
        <w:contextualSpacing w:val="0"/>
        <w:rPr>
          <w:rFonts w:ascii="Times New Roman" w:hAnsi="Times New Roman"/>
          <w:szCs w:val="22"/>
        </w:rPr>
      </w:pPr>
      <w:r w:rsidRPr="003E728B">
        <w:rPr>
          <w:rFonts w:ascii="Times New Roman" w:hAnsi="Times New Roman"/>
          <w:b/>
          <w:bCs/>
          <w:szCs w:val="22"/>
        </w:rPr>
        <w:t xml:space="preserve">Proposal # </w:t>
      </w:r>
      <w:r>
        <w:rPr>
          <w:rFonts w:ascii="Times New Roman" w:hAnsi="Times New Roman"/>
          <w:b/>
          <w:bCs/>
          <w:szCs w:val="22"/>
        </w:rPr>
        <w:t>2</w:t>
      </w:r>
      <w:r w:rsidRPr="003E728B">
        <w:rPr>
          <w:rFonts w:ascii="Times New Roman" w:hAnsi="Times New Roman"/>
          <w:b/>
          <w:bCs/>
          <w:szCs w:val="22"/>
        </w:rPr>
        <w:t xml:space="preserve">: </w:t>
      </w:r>
      <w:r w:rsidR="00765998">
        <w:rPr>
          <w:rFonts w:ascii="Times New Roman" w:hAnsi="Times New Roman"/>
          <w:szCs w:val="22"/>
        </w:rPr>
        <w:t xml:space="preserve">Interruption </w:t>
      </w:r>
      <w:r w:rsidR="009F5B14">
        <w:rPr>
          <w:rFonts w:ascii="Times New Roman" w:hAnsi="Times New Roman"/>
          <w:szCs w:val="22"/>
        </w:rPr>
        <w:t xml:space="preserve">requirements due to </w:t>
      </w:r>
      <w:r w:rsidR="00765998" w:rsidRPr="00765998">
        <w:rPr>
          <w:rFonts w:ascii="Times New Roman" w:hAnsi="Times New Roman"/>
          <w:szCs w:val="22"/>
        </w:rPr>
        <w:t xml:space="preserve">UL BWP switching in </w:t>
      </w:r>
      <w:proofErr w:type="spellStart"/>
      <w:r w:rsidR="00765998" w:rsidRPr="00765998">
        <w:rPr>
          <w:rFonts w:ascii="Times New Roman" w:hAnsi="Times New Roman"/>
          <w:szCs w:val="22"/>
        </w:rPr>
        <w:t>SpCell</w:t>
      </w:r>
      <w:proofErr w:type="spellEnd"/>
      <w:r w:rsidR="00765998" w:rsidRPr="00765998">
        <w:rPr>
          <w:rFonts w:ascii="Times New Roman" w:hAnsi="Times New Roman"/>
          <w:szCs w:val="22"/>
        </w:rPr>
        <w:t xml:space="preserve"> triggered by consistent UL LBT failures </w:t>
      </w:r>
      <w:r w:rsidR="00765998">
        <w:rPr>
          <w:rFonts w:ascii="Times New Roman" w:hAnsi="Times New Roman"/>
          <w:szCs w:val="22"/>
        </w:rPr>
        <w:t xml:space="preserve">shall </w:t>
      </w:r>
      <w:r w:rsidR="00765998" w:rsidRPr="00765998">
        <w:rPr>
          <w:rFonts w:ascii="Times New Roman" w:hAnsi="Times New Roman"/>
          <w:szCs w:val="22"/>
        </w:rPr>
        <w:t>follo</w:t>
      </w:r>
      <w:r w:rsidR="00765998">
        <w:rPr>
          <w:rFonts w:ascii="Times New Roman" w:hAnsi="Times New Roman"/>
          <w:szCs w:val="22"/>
        </w:rPr>
        <w:t>w</w:t>
      </w:r>
      <w:r w:rsidRPr="00274CDB">
        <w:rPr>
          <w:rFonts w:ascii="Times New Roman" w:hAnsi="Times New Roman"/>
          <w:szCs w:val="22"/>
        </w:rPr>
        <w:t xml:space="preserve"> </w:t>
      </w:r>
      <w:r w:rsidR="00765998">
        <w:rPr>
          <w:rFonts w:ascii="Times New Roman" w:hAnsi="Times New Roman"/>
          <w:szCs w:val="22"/>
        </w:rPr>
        <w:t xml:space="preserve">the </w:t>
      </w:r>
      <w:r w:rsidR="009F5B14">
        <w:rPr>
          <w:rFonts w:ascii="Times New Roman" w:hAnsi="Times New Roman"/>
          <w:szCs w:val="22"/>
        </w:rPr>
        <w:t xml:space="preserve">existing interruption requirements due to </w:t>
      </w:r>
      <w:r w:rsidRPr="00274CDB">
        <w:rPr>
          <w:rFonts w:ascii="Times New Roman" w:hAnsi="Times New Roman"/>
          <w:szCs w:val="22"/>
        </w:rPr>
        <w:t xml:space="preserve">DCI-based </w:t>
      </w:r>
      <w:r w:rsidR="00765998">
        <w:rPr>
          <w:rFonts w:ascii="Times New Roman" w:hAnsi="Times New Roman"/>
          <w:szCs w:val="22"/>
        </w:rPr>
        <w:t xml:space="preserve">and </w:t>
      </w:r>
      <w:r w:rsidRPr="00274CDB">
        <w:rPr>
          <w:rFonts w:ascii="Times New Roman" w:hAnsi="Times New Roman"/>
          <w:szCs w:val="22"/>
        </w:rPr>
        <w:t>timer-based UL BWP switching</w:t>
      </w:r>
      <w:r w:rsidR="009F5B14">
        <w:rPr>
          <w:rFonts w:ascii="Times New Roman" w:hAnsi="Times New Roman"/>
          <w:szCs w:val="22"/>
        </w:rPr>
        <w:t xml:space="preserve"> defined in TS 38.133 (</w:t>
      </w:r>
      <w:r w:rsidR="00016DC7">
        <w:rPr>
          <w:rFonts w:ascii="Times New Roman" w:hAnsi="Times New Roman"/>
          <w:szCs w:val="22"/>
        </w:rPr>
        <w:t>for NR serving cells in EN-DC, NE-DC, S</w:t>
      </w:r>
      <w:r w:rsidR="009F5B14">
        <w:rPr>
          <w:rFonts w:ascii="Times New Roman" w:hAnsi="Times New Roman"/>
          <w:szCs w:val="22"/>
        </w:rPr>
        <w:t>A</w:t>
      </w:r>
      <w:r w:rsidR="00016DC7">
        <w:rPr>
          <w:rFonts w:ascii="Times New Roman" w:hAnsi="Times New Roman"/>
          <w:szCs w:val="22"/>
        </w:rPr>
        <w:t xml:space="preserve"> and </w:t>
      </w:r>
      <w:r w:rsidR="009F5B14">
        <w:rPr>
          <w:rFonts w:ascii="Times New Roman" w:hAnsi="Times New Roman"/>
          <w:szCs w:val="22"/>
        </w:rPr>
        <w:t>NR-DC</w:t>
      </w:r>
      <w:r w:rsidR="00016DC7">
        <w:rPr>
          <w:rFonts w:ascii="Times New Roman" w:hAnsi="Times New Roman"/>
          <w:szCs w:val="22"/>
        </w:rPr>
        <w:t xml:space="preserve"> scenarios</w:t>
      </w:r>
      <w:r w:rsidR="009F5B14">
        <w:rPr>
          <w:rFonts w:ascii="Times New Roman" w:hAnsi="Times New Roman"/>
          <w:szCs w:val="22"/>
        </w:rPr>
        <w:t xml:space="preserve">) and </w:t>
      </w:r>
      <w:r w:rsidR="00016DC7">
        <w:rPr>
          <w:rFonts w:ascii="Times New Roman" w:hAnsi="Times New Roman"/>
          <w:szCs w:val="22"/>
        </w:rPr>
        <w:t xml:space="preserve">in </w:t>
      </w:r>
      <w:r w:rsidR="009F5B14">
        <w:rPr>
          <w:rFonts w:ascii="Times New Roman" w:hAnsi="Times New Roman"/>
          <w:szCs w:val="22"/>
        </w:rPr>
        <w:t>TS 36.133 (</w:t>
      </w:r>
      <w:r w:rsidR="00016DC7">
        <w:rPr>
          <w:rFonts w:ascii="Times New Roman" w:hAnsi="Times New Roman"/>
          <w:szCs w:val="22"/>
        </w:rPr>
        <w:t xml:space="preserve">for LTE serving cells in </w:t>
      </w:r>
      <w:r w:rsidR="009F5B14">
        <w:rPr>
          <w:rFonts w:ascii="Times New Roman" w:hAnsi="Times New Roman"/>
          <w:szCs w:val="22"/>
        </w:rPr>
        <w:t>EN-DC and NE-DC)</w:t>
      </w:r>
      <w:r w:rsidRPr="00274CDB">
        <w:rPr>
          <w:rFonts w:ascii="Times New Roman" w:hAnsi="Times New Roman"/>
          <w:szCs w:val="22"/>
        </w:rPr>
        <w:t>.</w:t>
      </w:r>
    </w:p>
    <w:p w14:paraId="1E699B0E" w14:textId="77777777" w:rsidR="00C620BC" w:rsidRDefault="00C620BC" w:rsidP="003C4CA3">
      <w:pPr>
        <w:overflowPunct w:val="0"/>
        <w:autoSpaceDE w:val="0"/>
        <w:autoSpaceDN w:val="0"/>
        <w:adjustRightInd w:val="0"/>
        <w:spacing w:after="0"/>
        <w:textAlignment w:val="baseline"/>
        <w:rPr>
          <w:sz w:val="22"/>
          <w:szCs w:val="22"/>
        </w:rPr>
      </w:pPr>
    </w:p>
    <w:p w14:paraId="12A6B6B4" w14:textId="41007D96" w:rsidR="00D70237" w:rsidRDefault="00C620BC" w:rsidP="003C4CA3">
      <w:pPr>
        <w:overflowPunct w:val="0"/>
        <w:autoSpaceDE w:val="0"/>
        <w:autoSpaceDN w:val="0"/>
        <w:adjustRightInd w:val="0"/>
        <w:spacing w:after="0"/>
        <w:textAlignment w:val="baseline"/>
        <w:rPr>
          <w:sz w:val="22"/>
          <w:szCs w:val="22"/>
        </w:rPr>
      </w:pPr>
      <w:r>
        <w:rPr>
          <w:sz w:val="22"/>
          <w:szCs w:val="22"/>
        </w:rPr>
        <w:t>CR</w:t>
      </w:r>
      <w:r w:rsidR="00241655">
        <w:rPr>
          <w:sz w:val="22"/>
          <w:szCs w:val="22"/>
        </w:rPr>
        <w:t>s</w:t>
      </w:r>
      <w:r>
        <w:rPr>
          <w:sz w:val="22"/>
          <w:szCs w:val="22"/>
        </w:rPr>
        <w:t xml:space="preserve"> to introduce the corresponding requirements </w:t>
      </w:r>
      <w:r w:rsidR="00126633">
        <w:rPr>
          <w:sz w:val="22"/>
          <w:szCs w:val="22"/>
        </w:rPr>
        <w:t xml:space="preserve">are </w:t>
      </w:r>
      <w:r>
        <w:rPr>
          <w:sz w:val="22"/>
          <w:szCs w:val="22"/>
        </w:rPr>
        <w:t>provided in [</w:t>
      </w:r>
      <w:r w:rsidR="00151988">
        <w:rPr>
          <w:sz w:val="22"/>
          <w:szCs w:val="22"/>
        </w:rPr>
        <w:t>3</w:t>
      </w:r>
      <w:r w:rsidR="00241655">
        <w:rPr>
          <w:sz w:val="22"/>
          <w:szCs w:val="22"/>
        </w:rPr>
        <w:t>-</w:t>
      </w:r>
      <w:r w:rsidR="00947C02">
        <w:rPr>
          <w:sz w:val="22"/>
          <w:szCs w:val="22"/>
        </w:rPr>
        <w:t>5</w:t>
      </w:r>
      <w:r>
        <w:rPr>
          <w:sz w:val="22"/>
          <w:szCs w:val="22"/>
        </w:rPr>
        <w:t>]</w:t>
      </w:r>
      <w:r w:rsidR="00151988">
        <w:rPr>
          <w:sz w:val="22"/>
          <w:szCs w:val="22"/>
        </w:rPr>
        <w:t xml:space="preserve">. </w:t>
      </w:r>
    </w:p>
    <w:bookmarkEnd w:id="2"/>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lastRenderedPageBreak/>
        <w:t>References</w:t>
      </w:r>
    </w:p>
    <w:bookmarkEnd w:id="0"/>
    <w:bookmarkEnd w:id="1"/>
    <w:p w14:paraId="3E7C3D54" w14:textId="023336DE" w:rsidR="00BE2894" w:rsidRPr="00A87CB7" w:rsidRDefault="003C5391" w:rsidP="00F04648">
      <w:pPr>
        <w:pStyle w:val="ListParagraph"/>
        <w:numPr>
          <w:ilvl w:val="0"/>
          <w:numId w:val="4"/>
        </w:numPr>
        <w:spacing w:before="120"/>
        <w:contextualSpacing w:val="0"/>
        <w:rPr>
          <w:rFonts w:ascii="Times New Roman" w:hAnsi="Times New Roman"/>
          <w:sz w:val="20"/>
        </w:rPr>
      </w:pPr>
      <w:r w:rsidRPr="00A87CB7">
        <w:rPr>
          <w:rFonts w:ascii="Times New Roman" w:hAnsi="Times New Roman"/>
          <w:sz w:val="20"/>
        </w:rPr>
        <w:t>R4-</w:t>
      </w:r>
      <w:r w:rsidR="000743B0">
        <w:rPr>
          <w:rFonts w:ascii="Times New Roman" w:hAnsi="Times New Roman"/>
          <w:sz w:val="20"/>
        </w:rPr>
        <w:t>2002335</w:t>
      </w:r>
      <w:r w:rsidRPr="00A87CB7">
        <w:rPr>
          <w:rFonts w:ascii="Times New Roman" w:hAnsi="Times New Roman"/>
          <w:sz w:val="20"/>
        </w:rPr>
        <w:t xml:space="preserve">, </w:t>
      </w:r>
      <w:r w:rsidR="000743B0" w:rsidRPr="000743B0">
        <w:rPr>
          <w:rFonts w:ascii="Times New Roman" w:hAnsi="Times New Roman"/>
          <w:sz w:val="20"/>
          <w:lang w:val="en-GB"/>
        </w:rPr>
        <w:t>WF on NR-U RRM Requirements (Part 2)</w:t>
      </w:r>
      <w:r w:rsidRPr="00A87CB7">
        <w:rPr>
          <w:rFonts w:ascii="Times New Roman" w:hAnsi="Times New Roman"/>
          <w:sz w:val="20"/>
        </w:rPr>
        <w:t xml:space="preserve">, </w:t>
      </w:r>
      <w:proofErr w:type="spellStart"/>
      <w:r w:rsidR="000743B0">
        <w:rPr>
          <w:rFonts w:ascii="Times New Roman" w:hAnsi="Times New Roman"/>
          <w:sz w:val="20"/>
        </w:rPr>
        <w:t>Mediatek</w:t>
      </w:r>
      <w:proofErr w:type="spellEnd"/>
      <w:r w:rsidRPr="00A87CB7">
        <w:rPr>
          <w:rFonts w:ascii="Times New Roman" w:hAnsi="Times New Roman"/>
          <w:sz w:val="20"/>
        </w:rPr>
        <w:t>.</w:t>
      </w:r>
    </w:p>
    <w:p w14:paraId="24B0F270" w14:textId="3E4653A5" w:rsidR="00E11E48" w:rsidRDefault="00A87CB7" w:rsidP="00F04648">
      <w:pPr>
        <w:pStyle w:val="ListParagraph"/>
        <w:numPr>
          <w:ilvl w:val="0"/>
          <w:numId w:val="4"/>
        </w:numPr>
        <w:spacing w:before="120"/>
        <w:ind w:left="714" w:hanging="357"/>
        <w:contextualSpacing w:val="0"/>
        <w:rPr>
          <w:rFonts w:ascii="Times New Roman" w:hAnsi="Times New Roman"/>
          <w:sz w:val="20"/>
        </w:rPr>
      </w:pPr>
      <w:r w:rsidRPr="00A87CB7">
        <w:rPr>
          <w:rFonts w:ascii="Times New Roman" w:hAnsi="Times New Roman"/>
          <w:sz w:val="20"/>
        </w:rPr>
        <w:t>R4-</w:t>
      </w:r>
      <w:r>
        <w:rPr>
          <w:rFonts w:ascii="Times New Roman" w:hAnsi="Times New Roman"/>
          <w:sz w:val="20"/>
        </w:rPr>
        <w:t>20</w:t>
      </w:r>
      <w:r w:rsidR="00922B83">
        <w:rPr>
          <w:rFonts w:ascii="Times New Roman" w:hAnsi="Times New Roman"/>
          <w:sz w:val="20"/>
        </w:rPr>
        <w:t>0</w:t>
      </w:r>
      <w:r w:rsidR="003E728B">
        <w:rPr>
          <w:rFonts w:ascii="Times New Roman" w:hAnsi="Times New Roman"/>
          <w:sz w:val="20"/>
        </w:rPr>
        <w:t>184</w:t>
      </w:r>
      <w:r w:rsidR="000B00C8">
        <w:rPr>
          <w:rFonts w:ascii="Times New Roman" w:hAnsi="Times New Roman"/>
          <w:sz w:val="20"/>
        </w:rPr>
        <w:t>8</w:t>
      </w:r>
      <w:r w:rsidRPr="00A87CB7">
        <w:rPr>
          <w:rFonts w:ascii="Times New Roman" w:hAnsi="Times New Roman"/>
          <w:sz w:val="20"/>
        </w:rPr>
        <w:t xml:space="preserve">, </w:t>
      </w:r>
      <w:r w:rsidR="000B00C8" w:rsidRPr="000B00C8">
        <w:rPr>
          <w:rFonts w:ascii="Times New Roman" w:hAnsi="Times New Roman"/>
          <w:sz w:val="20"/>
        </w:rPr>
        <w:t>Analysis of BWP switching requirement due to consistent UL failure</w:t>
      </w:r>
      <w:r w:rsidRPr="00A87CB7">
        <w:rPr>
          <w:rFonts w:ascii="Times New Roman" w:hAnsi="Times New Roman"/>
          <w:sz w:val="20"/>
        </w:rPr>
        <w:t>, Ericsson.</w:t>
      </w:r>
    </w:p>
    <w:p w14:paraId="337A47F0" w14:textId="3B47F083" w:rsidR="00EA0C13" w:rsidRDefault="00EA0C13" w:rsidP="00F04648">
      <w:pPr>
        <w:pStyle w:val="ListParagraph"/>
        <w:numPr>
          <w:ilvl w:val="0"/>
          <w:numId w:val="4"/>
        </w:numPr>
        <w:spacing w:before="120"/>
        <w:contextualSpacing w:val="0"/>
        <w:rPr>
          <w:rFonts w:ascii="Times New Roman" w:hAnsi="Times New Roman"/>
          <w:sz w:val="20"/>
        </w:rPr>
      </w:pPr>
      <w:r w:rsidRPr="00EA0C13">
        <w:rPr>
          <w:rFonts w:ascii="Times New Roman" w:hAnsi="Times New Roman"/>
          <w:sz w:val="20"/>
        </w:rPr>
        <w:t>R4-20</w:t>
      </w:r>
      <w:r w:rsidR="007A0C64">
        <w:rPr>
          <w:rFonts w:ascii="Times New Roman" w:hAnsi="Times New Roman"/>
          <w:sz w:val="20"/>
        </w:rPr>
        <w:t>04403</w:t>
      </w:r>
      <w:r w:rsidRPr="00EA0C13">
        <w:rPr>
          <w:rFonts w:ascii="Times New Roman" w:hAnsi="Times New Roman"/>
          <w:sz w:val="20"/>
        </w:rPr>
        <w:t xml:space="preserve">, BWP switching </w:t>
      </w:r>
      <w:r w:rsidR="00947C02">
        <w:rPr>
          <w:rFonts w:ascii="Times New Roman" w:hAnsi="Times New Roman"/>
          <w:sz w:val="20"/>
        </w:rPr>
        <w:t xml:space="preserve">delay </w:t>
      </w:r>
      <w:r w:rsidRPr="00EA0C13">
        <w:rPr>
          <w:rFonts w:ascii="Times New Roman" w:hAnsi="Times New Roman"/>
          <w:sz w:val="20"/>
        </w:rPr>
        <w:t>requirement due to consistent UL failure in 38.133, Ericsson.</w:t>
      </w:r>
    </w:p>
    <w:p w14:paraId="1B61DF9F" w14:textId="48FBAC58" w:rsidR="00947C02" w:rsidRPr="00947C02" w:rsidRDefault="00947C02" w:rsidP="00F04648">
      <w:pPr>
        <w:pStyle w:val="ListParagraph"/>
        <w:numPr>
          <w:ilvl w:val="0"/>
          <w:numId w:val="4"/>
        </w:numPr>
        <w:spacing w:before="120"/>
        <w:contextualSpacing w:val="0"/>
        <w:rPr>
          <w:rFonts w:ascii="Times New Roman" w:hAnsi="Times New Roman"/>
          <w:sz w:val="20"/>
        </w:rPr>
      </w:pPr>
      <w:r w:rsidRPr="00EA0C13">
        <w:rPr>
          <w:rFonts w:ascii="Times New Roman" w:hAnsi="Times New Roman"/>
          <w:sz w:val="20"/>
        </w:rPr>
        <w:t>R4-20</w:t>
      </w:r>
      <w:r w:rsidR="007A0C64">
        <w:rPr>
          <w:rFonts w:ascii="Times New Roman" w:hAnsi="Times New Roman"/>
          <w:sz w:val="20"/>
        </w:rPr>
        <w:t>04404</w:t>
      </w:r>
      <w:r w:rsidRPr="00EA0C13">
        <w:rPr>
          <w:rFonts w:ascii="Times New Roman" w:hAnsi="Times New Roman"/>
          <w:sz w:val="20"/>
        </w:rPr>
        <w:t xml:space="preserve">, BWP switching </w:t>
      </w:r>
      <w:r>
        <w:rPr>
          <w:rFonts w:ascii="Times New Roman" w:hAnsi="Times New Roman"/>
          <w:sz w:val="20"/>
        </w:rPr>
        <w:t xml:space="preserve">interruption </w:t>
      </w:r>
      <w:r w:rsidRPr="00EA0C13">
        <w:rPr>
          <w:rFonts w:ascii="Times New Roman" w:hAnsi="Times New Roman"/>
          <w:sz w:val="20"/>
        </w:rPr>
        <w:t>requirement due to consistent UL failure in 38.133, Ericsson.</w:t>
      </w:r>
    </w:p>
    <w:p w14:paraId="3027245F" w14:textId="3FEA2F9B" w:rsidR="00241655" w:rsidRPr="00241655" w:rsidRDefault="00241655" w:rsidP="00F04648">
      <w:pPr>
        <w:pStyle w:val="ListParagraph"/>
        <w:numPr>
          <w:ilvl w:val="0"/>
          <w:numId w:val="4"/>
        </w:numPr>
        <w:spacing w:before="120"/>
        <w:ind w:left="714" w:hanging="357"/>
        <w:contextualSpacing w:val="0"/>
        <w:rPr>
          <w:rFonts w:ascii="Times New Roman" w:hAnsi="Times New Roman"/>
          <w:sz w:val="20"/>
        </w:rPr>
      </w:pPr>
      <w:r w:rsidRPr="00A87CB7">
        <w:rPr>
          <w:rFonts w:ascii="Times New Roman" w:hAnsi="Times New Roman"/>
          <w:sz w:val="20"/>
        </w:rPr>
        <w:t>R4-</w:t>
      </w:r>
      <w:r>
        <w:rPr>
          <w:rFonts w:ascii="Times New Roman" w:hAnsi="Times New Roman"/>
          <w:sz w:val="20"/>
        </w:rPr>
        <w:t>20</w:t>
      </w:r>
      <w:r w:rsidR="007A0C64">
        <w:rPr>
          <w:rFonts w:ascii="Times New Roman" w:hAnsi="Times New Roman"/>
          <w:sz w:val="20"/>
        </w:rPr>
        <w:t>04405</w:t>
      </w:r>
      <w:r w:rsidRPr="00A87CB7">
        <w:rPr>
          <w:rFonts w:ascii="Times New Roman" w:hAnsi="Times New Roman"/>
          <w:sz w:val="20"/>
        </w:rPr>
        <w:t xml:space="preserve">, </w:t>
      </w:r>
      <w:r>
        <w:rPr>
          <w:rFonts w:ascii="Times New Roman" w:hAnsi="Times New Roman"/>
          <w:sz w:val="20"/>
        </w:rPr>
        <w:t xml:space="preserve">Interruption due </w:t>
      </w:r>
      <w:bookmarkStart w:id="4" w:name="_GoBack"/>
      <w:bookmarkEnd w:id="4"/>
      <w:r>
        <w:rPr>
          <w:rFonts w:ascii="Times New Roman" w:hAnsi="Times New Roman"/>
          <w:sz w:val="20"/>
        </w:rPr>
        <w:t xml:space="preserve">to </w:t>
      </w:r>
      <w:r w:rsidRPr="004747F6">
        <w:rPr>
          <w:rFonts w:ascii="Times New Roman" w:hAnsi="Times New Roman"/>
          <w:sz w:val="20"/>
        </w:rPr>
        <w:t xml:space="preserve">BWP switching </w:t>
      </w:r>
      <w:r>
        <w:rPr>
          <w:rFonts w:ascii="Times New Roman" w:hAnsi="Times New Roman"/>
          <w:sz w:val="20"/>
        </w:rPr>
        <w:t xml:space="preserve">at </w:t>
      </w:r>
      <w:r w:rsidRPr="004747F6">
        <w:rPr>
          <w:rFonts w:ascii="Times New Roman" w:hAnsi="Times New Roman"/>
          <w:sz w:val="20"/>
        </w:rPr>
        <w:t>consistent UL failure</w:t>
      </w:r>
      <w:r>
        <w:rPr>
          <w:rFonts w:ascii="Times New Roman" w:hAnsi="Times New Roman"/>
          <w:sz w:val="20"/>
        </w:rPr>
        <w:t xml:space="preserve"> in 36.133</w:t>
      </w:r>
      <w:r w:rsidRPr="00A87CB7">
        <w:rPr>
          <w:rFonts w:ascii="Times New Roman" w:hAnsi="Times New Roman"/>
          <w:sz w:val="20"/>
        </w:rPr>
        <w:t>, Ericsson.</w:t>
      </w:r>
    </w:p>
    <w:sectPr w:rsidR="00241655" w:rsidRPr="0024165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FF226" w14:textId="77777777" w:rsidR="00081F9F" w:rsidRDefault="00081F9F">
      <w:r>
        <w:separator/>
      </w:r>
    </w:p>
  </w:endnote>
  <w:endnote w:type="continuationSeparator" w:id="0">
    <w:p w14:paraId="49D9B48F" w14:textId="77777777" w:rsidR="00081F9F" w:rsidRDefault="0008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305E2" w14:textId="77777777" w:rsidR="00081F9F" w:rsidRDefault="00081F9F">
      <w:r>
        <w:separator/>
      </w:r>
    </w:p>
  </w:footnote>
  <w:footnote w:type="continuationSeparator" w:id="0">
    <w:p w14:paraId="5036D494" w14:textId="77777777" w:rsidR="00081F9F" w:rsidRDefault="00081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24799"/>
    <w:multiLevelType w:val="hybridMultilevel"/>
    <w:tmpl w:val="BB74E3D4"/>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1CC1DA5"/>
    <w:multiLevelType w:val="hybridMultilevel"/>
    <w:tmpl w:val="F4E800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2556729"/>
    <w:multiLevelType w:val="hybridMultilevel"/>
    <w:tmpl w:val="A8E03F9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434A30C7"/>
    <w:multiLevelType w:val="hybridMultilevel"/>
    <w:tmpl w:val="D99A934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2D959F8"/>
    <w:multiLevelType w:val="hybridMultilevel"/>
    <w:tmpl w:val="1AE4EF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4" w15:restartNumberingAfterBreak="0">
    <w:nsid w:val="70BC3029"/>
    <w:multiLevelType w:val="hybridMultilevel"/>
    <w:tmpl w:val="B7F01B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5"/>
  </w:num>
  <w:num w:numId="2">
    <w:abstractNumId w:val="4"/>
  </w:num>
  <w:num w:numId="3">
    <w:abstractNumId w:val="17"/>
  </w:num>
  <w:num w:numId="4">
    <w:abstractNumId w:val="2"/>
  </w:num>
  <w:num w:numId="5">
    <w:abstractNumId w:val="8"/>
  </w:num>
  <w:num w:numId="6">
    <w:abstractNumId w:val="16"/>
  </w:num>
  <w:num w:numId="7">
    <w:abstractNumId w:val="13"/>
  </w:num>
  <w:num w:numId="8">
    <w:abstractNumId w:val="11"/>
  </w:num>
  <w:num w:numId="9">
    <w:abstractNumId w:val="3"/>
  </w:num>
  <w:num w:numId="10">
    <w:abstractNumId w:val="6"/>
  </w:num>
  <w:num w:numId="11">
    <w:abstractNumId w:val="5"/>
  </w:num>
  <w:num w:numId="12">
    <w:abstractNumId w:val="7"/>
  </w:num>
  <w:num w:numId="13">
    <w:abstractNumId w:val="9"/>
  </w:num>
  <w:num w:numId="14">
    <w:abstractNumId w:val="12"/>
  </w:num>
  <w:num w:numId="15">
    <w:abstractNumId w:val="10"/>
  </w:num>
  <w:num w:numId="16">
    <w:abstractNumId w:val="14"/>
  </w:num>
  <w:num w:numId="17">
    <w:abstractNumId w:val="0"/>
  </w:num>
  <w:num w:numId="1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7637"/>
    <w:rsid w:val="000101D5"/>
    <w:rsid w:val="00010D66"/>
    <w:rsid w:val="00010F32"/>
    <w:rsid w:val="0001113F"/>
    <w:rsid w:val="00011FEF"/>
    <w:rsid w:val="00012375"/>
    <w:rsid w:val="00012514"/>
    <w:rsid w:val="00013D9A"/>
    <w:rsid w:val="00015045"/>
    <w:rsid w:val="0001570A"/>
    <w:rsid w:val="000160A7"/>
    <w:rsid w:val="00016DC7"/>
    <w:rsid w:val="00016E7B"/>
    <w:rsid w:val="00016F6F"/>
    <w:rsid w:val="00016FB4"/>
    <w:rsid w:val="00017794"/>
    <w:rsid w:val="00020BD4"/>
    <w:rsid w:val="000215BD"/>
    <w:rsid w:val="00022078"/>
    <w:rsid w:val="00022E4A"/>
    <w:rsid w:val="00023243"/>
    <w:rsid w:val="00023F11"/>
    <w:rsid w:val="0002520C"/>
    <w:rsid w:val="00025CD9"/>
    <w:rsid w:val="00025D5C"/>
    <w:rsid w:val="0002639E"/>
    <w:rsid w:val="0002674F"/>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75E"/>
    <w:rsid w:val="00055E7A"/>
    <w:rsid w:val="00056B58"/>
    <w:rsid w:val="000600C9"/>
    <w:rsid w:val="00060506"/>
    <w:rsid w:val="00060C29"/>
    <w:rsid w:val="00062731"/>
    <w:rsid w:val="00062B85"/>
    <w:rsid w:val="00062C4C"/>
    <w:rsid w:val="000638D6"/>
    <w:rsid w:val="00063F34"/>
    <w:rsid w:val="0006529E"/>
    <w:rsid w:val="00066958"/>
    <w:rsid w:val="00067A21"/>
    <w:rsid w:val="00072457"/>
    <w:rsid w:val="00072E3F"/>
    <w:rsid w:val="00073DA3"/>
    <w:rsid w:val="000743B0"/>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6096"/>
    <w:rsid w:val="000A6394"/>
    <w:rsid w:val="000A6F55"/>
    <w:rsid w:val="000B00C8"/>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382"/>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101E"/>
    <w:rsid w:val="00121193"/>
    <w:rsid w:val="00122CC0"/>
    <w:rsid w:val="00122DC3"/>
    <w:rsid w:val="00125366"/>
    <w:rsid w:val="0012598B"/>
    <w:rsid w:val="00126633"/>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1D2"/>
    <w:rsid w:val="00144CE6"/>
    <w:rsid w:val="00145CBE"/>
    <w:rsid w:val="00145D43"/>
    <w:rsid w:val="00146326"/>
    <w:rsid w:val="00146573"/>
    <w:rsid w:val="001517C7"/>
    <w:rsid w:val="00151988"/>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5DB7"/>
    <w:rsid w:val="001766AD"/>
    <w:rsid w:val="001772CF"/>
    <w:rsid w:val="001800C0"/>
    <w:rsid w:val="001808A4"/>
    <w:rsid w:val="00182A49"/>
    <w:rsid w:val="00183074"/>
    <w:rsid w:val="001831D3"/>
    <w:rsid w:val="001839A7"/>
    <w:rsid w:val="00183A37"/>
    <w:rsid w:val="00183EE5"/>
    <w:rsid w:val="0018502D"/>
    <w:rsid w:val="00185594"/>
    <w:rsid w:val="00185C69"/>
    <w:rsid w:val="00186094"/>
    <w:rsid w:val="00186975"/>
    <w:rsid w:val="00186C57"/>
    <w:rsid w:val="0019054D"/>
    <w:rsid w:val="001911EA"/>
    <w:rsid w:val="00191516"/>
    <w:rsid w:val="00191B7B"/>
    <w:rsid w:val="00191BCD"/>
    <w:rsid w:val="00192B47"/>
    <w:rsid w:val="00192C46"/>
    <w:rsid w:val="00193454"/>
    <w:rsid w:val="00193D49"/>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9C5"/>
    <w:rsid w:val="001E6F15"/>
    <w:rsid w:val="001E71FA"/>
    <w:rsid w:val="001F02BB"/>
    <w:rsid w:val="001F05B3"/>
    <w:rsid w:val="001F05E0"/>
    <w:rsid w:val="001F1DC8"/>
    <w:rsid w:val="001F24BD"/>
    <w:rsid w:val="001F2900"/>
    <w:rsid w:val="001F2DAB"/>
    <w:rsid w:val="001F3EEF"/>
    <w:rsid w:val="001F460D"/>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56C8"/>
    <w:rsid w:val="00235D6D"/>
    <w:rsid w:val="002376D0"/>
    <w:rsid w:val="00241655"/>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DC4"/>
    <w:rsid w:val="00255F58"/>
    <w:rsid w:val="00255FF0"/>
    <w:rsid w:val="00256FFB"/>
    <w:rsid w:val="00257768"/>
    <w:rsid w:val="0026004D"/>
    <w:rsid w:val="00261347"/>
    <w:rsid w:val="00261A22"/>
    <w:rsid w:val="00262029"/>
    <w:rsid w:val="00263B86"/>
    <w:rsid w:val="00263CD4"/>
    <w:rsid w:val="0026419E"/>
    <w:rsid w:val="00264DDF"/>
    <w:rsid w:val="00265B9B"/>
    <w:rsid w:val="00265D7A"/>
    <w:rsid w:val="00266652"/>
    <w:rsid w:val="00267363"/>
    <w:rsid w:val="00270A44"/>
    <w:rsid w:val="0027229B"/>
    <w:rsid w:val="00273288"/>
    <w:rsid w:val="00274751"/>
    <w:rsid w:val="00274CDB"/>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CCB"/>
    <w:rsid w:val="00314DB3"/>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5141"/>
    <w:rsid w:val="00375852"/>
    <w:rsid w:val="0037698A"/>
    <w:rsid w:val="003801B7"/>
    <w:rsid w:val="003807FC"/>
    <w:rsid w:val="00380E2C"/>
    <w:rsid w:val="003810CA"/>
    <w:rsid w:val="003814E5"/>
    <w:rsid w:val="00381B4C"/>
    <w:rsid w:val="00383123"/>
    <w:rsid w:val="00383682"/>
    <w:rsid w:val="00383DA1"/>
    <w:rsid w:val="00383DBB"/>
    <w:rsid w:val="00384511"/>
    <w:rsid w:val="00385BF6"/>
    <w:rsid w:val="00386A4B"/>
    <w:rsid w:val="003917CB"/>
    <w:rsid w:val="003926AA"/>
    <w:rsid w:val="00396C61"/>
    <w:rsid w:val="003A004F"/>
    <w:rsid w:val="003A08B9"/>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28B"/>
    <w:rsid w:val="003E7A13"/>
    <w:rsid w:val="003F06FD"/>
    <w:rsid w:val="003F0BB2"/>
    <w:rsid w:val="003F1537"/>
    <w:rsid w:val="003F1645"/>
    <w:rsid w:val="003F18E2"/>
    <w:rsid w:val="003F2400"/>
    <w:rsid w:val="003F31F2"/>
    <w:rsid w:val="003F3B11"/>
    <w:rsid w:val="0040016B"/>
    <w:rsid w:val="0040163E"/>
    <w:rsid w:val="004037E8"/>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C74"/>
    <w:rsid w:val="00432F7A"/>
    <w:rsid w:val="0043357A"/>
    <w:rsid w:val="00434B77"/>
    <w:rsid w:val="0043544E"/>
    <w:rsid w:val="00436371"/>
    <w:rsid w:val="00436A9F"/>
    <w:rsid w:val="00437331"/>
    <w:rsid w:val="0044026A"/>
    <w:rsid w:val="004406DB"/>
    <w:rsid w:val="0044198C"/>
    <w:rsid w:val="00441EC5"/>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8071D"/>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64D9"/>
    <w:rsid w:val="004F762E"/>
    <w:rsid w:val="00502095"/>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801"/>
    <w:rsid w:val="00561467"/>
    <w:rsid w:val="00561870"/>
    <w:rsid w:val="005620D7"/>
    <w:rsid w:val="00562843"/>
    <w:rsid w:val="005634BD"/>
    <w:rsid w:val="00563D58"/>
    <w:rsid w:val="00565333"/>
    <w:rsid w:val="005659E7"/>
    <w:rsid w:val="00565D55"/>
    <w:rsid w:val="005677DD"/>
    <w:rsid w:val="005705AF"/>
    <w:rsid w:val="0057083A"/>
    <w:rsid w:val="0057094C"/>
    <w:rsid w:val="00571884"/>
    <w:rsid w:val="005726F5"/>
    <w:rsid w:val="005740DE"/>
    <w:rsid w:val="00575B9B"/>
    <w:rsid w:val="0057650D"/>
    <w:rsid w:val="0057703E"/>
    <w:rsid w:val="00577B04"/>
    <w:rsid w:val="00580AD3"/>
    <w:rsid w:val="00582C2D"/>
    <w:rsid w:val="0058338F"/>
    <w:rsid w:val="005833C2"/>
    <w:rsid w:val="00583A30"/>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4372"/>
    <w:rsid w:val="005B4917"/>
    <w:rsid w:val="005B5717"/>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5038"/>
    <w:rsid w:val="00635815"/>
    <w:rsid w:val="00635C5D"/>
    <w:rsid w:val="0063649F"/>
    <w:rsid w:val="00636F27"/>
    <w:rsid w:val="00640C01"/>
    <w:rsid w:val="0064251E"/>
    <w:rsid w:val="0064472F"/>
    <w:rsid w:val="00645485"/>
    <w:rsid w:val="0064607F"/>
    <w:rsid w:val="006464D9"/>
    <w:rsid w:val="0064657F"/>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237"/>
    <w:rsid w:val="00695808"/>
    <w:rsid w:val="00696791"/>
    <w:rsid w:val="00696F36"/>
    <w:rsid w:val="006A0792"/>
    <w:rsid w:val="006A1F9C"/>
    <w:rsid w:val="006A2808"/>
    <w:rsid w:val="006A2819"/>
    <w:rsid w:val="006A477D"/>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3742"/>
    <w:rsid w:val="006C3854"/>
    <w:rsid w:val="006C3955"/>
    <w:rsid w:val="006C47E7"/>
    <w:rsid w:val="006C60F5"/>
    <w:rsid w:val="006C715A"/>
    <w:rsid w:val="006D01D3"/>
    <w:rsid w:val="006D1C90"/>
    <w:rsid w:val="006D1CCC"/>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998"/>
    <w:rsid w:val="00765E55"/>
    <w:rsid w:val="007663BB"/>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6328"/>
    <w:rsid w:val="00776E5F"/>
    <w:rsid w:val="0078043E"/>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0C64"/>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78D5"/>
    <w:rsid w:val="007F087A"/>
    <w:rsid w:val="007F20F6"/>
    <w:rsid w:val="007F2F89"/>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BF"/>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B2A"/>
    <w:rsid w:val="008B743C"/>
    <w:rsid w:val="008B78B1"/>
    <w:rsid w:val="008C06DF"/>
    <w:rsid w:val="008C1254"/>
    <w:rsid w:val="008C1A5B"/>
    <w:rsid w:val="008C279A"/>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B83"/>
    <w:rsid w:val="00922DE3"/>
    <w:rsid w:val="0092317E"/>
    <w:rsid w:val="009233C5"/>
    <w:rsid w:val="0092453D"/>
    <w:rsid w:val="00924665"/>
    <w:rsid w:val="00924BC8"/>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47C02"/>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23CC"/>
    <w:rsid w:val="009729A5"/>
    <w:rsid w:val="00972E86"/>
    <w:rsid w:val="00974237"/>
    <w:rsid w:val="00975BBB"/>
    <w:rsid w:val="009776EE"/>
    <w:rsid w:val="009777D9"/>
    <w:rsid w:val="009811CE"/>
    <w:rsid w:val="0098188F"/>
    <w:rsid w:val="009828FE"/>
    <w:rsid w:val="00982BD6"/>
    <w:rsid w:val="009837FE"/>
    <w:rsid w:val="00985260"/>
    <w:rsid w:val="00990326"/>
    <w:rsid w:val="00990561"/>
    <w:rsid w:val="00990C15"/>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1AF2"/>
    <w:rsid w:val="009B2AC7"/>
    <w:rsid w:val="009B2C74"/>
    <w:rsid w:val="009B4CCF"/>
    <w:rsid w:val="009B5909"/>
    <w:rsid w:val="009B5C55"/>
    <w:rsid w:val="009B6468"/>
    <w:rsid w:val="009C3156"/>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5B14"/>
    <w:rsid w:val="009F63AF"/>
    <w:rsid w:val="009F6EF2"/>
    <w:rsid w:val="009F734F"/>
    <w:rsid w:val="009F7656"/>
    <w:rsid w:val="009F7784"/>
    <w:rsid w:val="00A00234"/>
    <w:rsid w:val="00A00F53"/>
    <w:rsid w:val="00A01D5F"/>
    <w:rsid w:val="00A02796"/>
    <w:rsid w:val="00A028C7"/>
    <w:rsid w:val="00A03A09"/>
    <w:rsid w:val="00A04B0F"/>
    <w:rsid w:val="00A05DE9"/>
    <w:rsid w:val="00A0789F"/>
    <w:rsid w:val="00A07C3C"/>
    <w:rsid w:val="00A10E7C"/>
    <w:rsid w:val="00A11BCD"/>
    <w:rsid w:val="00A1205C"/>
    <w:rsid w:val="00A12257"/>
    <w:rsid w:val="00A12F42"/>
    <w:rsid w:val="00A13060"/>
    <w:rsid w:val="00A144DC"/>
    <w:rsid w:val="00A15D3B"/>
    <w:rsid w:val="00A17FF8"/>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805"/>
    <w:rsid w:val="00AA29D5"/>
    <w:rsid w:val="00AA332D"/>
    <w:rsid w:val="00AA3521"/>
    <w:rsid w:val="00AA3750"/>
    <w:rsid w:val="00AA5EC6"/>
    <w:rsid w:val="00AA66C7"/>
    <w:rsid w:val="00AA6833"/>
    <w:rsid w:val="00AB024D"/>
    <w:rsid w:val="00AB0643"/>
    <w:rsid w:val="00AB08F2"/>
    <w:rsid w:val="00AB0993"/>
    <w:rsid w:val="00AB25F0"/>
    <w:rsid w:val="00AB2B8E"/>
    <w:rsid w:val="00AB475E"/>
    <w:rsid w:val="00AB574A"/>
    <w:rsid w:val="00AB5973"/>
    <w:rsid w:val="00AB73DE"/>
    <w:rsid w:val="00AC005B"/>
    <w:rsid w:val="00AC0F5C"/>
    <w:rsid w:val="00AC1419"/>
    <w:rsid w:val="00AC1E75"/>
    <w:rsid w:val="00AC1FA7"/>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570A"/>
    <w:rsid w:val="00B5634B"/>
    <w:rsid w:val="00B57761"/>
    <w:rsid w:val="00B63642"/>
    <w:rsid w:val="00B63AE4"/>
    <w:rsid w:val="00B6424D"/>
    <w:rsid w:val="00B66875"/>
    <w:rsid w:val="00B67222"/>
    <w:rsid w:val="00B67B97"/>
    <w:rsid w:val="00B67C06"/>
    <w:rsid w:val="00B707B9"/>
    <w:rsid w:val="00B709AF"/>
    <w:rsid w:val="00B71117"/>
    <w:rsid w:val="00B7141C"/>
    <w:rsid w:val="00B72ED9"/>
    <w:rsid w:val="00B73830"/>
    <w:rsid w:val="00B74544"/>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279D"/>
    <w:rsid w:val="00BD3926"/>
    <w:rsid w:val="00BD3FBB"/>
    <w:rsid w:val="00BD48B5"/>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4100"/>
    <w:rsid w:val="00C054FF"/>
    <w:rsid w:val="00C05939"/>
    <w:rsid w:val="00C0662E"/>
    <w:rsid w:val="00C07168"/>
    <w:rsid w:val="00C0781F"/>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5775"/>
    <w:rsid w:val="00C25A4B"/>
    <w:rsid w:val="00C26696"/>
    <w:rsid w:val="00C268F7"/>
    <w:rsid w:val="00C27AF1"/>
    <w:rsid w:val="00C27F99"/>
    <w:rsid w:val="00C301A6"/>
    <w:rsid w:val="00C3238A"/>
    <w:rsid w:val="00C34FA5"/>
    <w:rsid w:val="00C37B2E"/>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E06"/>
    <w:rsid w:val="00C84B53"/>
    <w:rsid w:val="00C84B7A"/>
    <w:rsid w:val="00C85734"/>
    <w:rsid w:val="00C857F8"/>
    <w:rsid w:val="00C8586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6DD"/>
    <w:rsid w:val="00CE30BD"/>
    <w:rsid w:val="00CE6BD9"/>
    <w:rsid w:val="00CF2DC2"/>
    <w:rsid w:val="00CF41DE"/>
    <w:rsid w:val="00CF7C00"/>
    <w:rsid w:val="00CF7DDB"/>
    <w:rsid w:val="00D0012B"/>
    <w:rsid w:val="00D01693"/>
    <w:rsid w:val="00D03CD5"/>
    <w:rsid w:val="00D03F9A"/>
    <w:rsid w:val="00D041BA"/>
    <w:rsid w:val="00D06BF4"/>
    <w:rsid w:val="00D07272"/>
    <w:rsid w:val="00D078D2"/>
    <w:rsid w:val="00D109A0"/>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48D4"/>
    <w:rsid w:val="00D36ABF"/>
    <w:rsid w:val="00D36F8F"/>
    <w:rsid w:val="00D373B4"/>
    <w:rsid w:val="00D4060A"/>
    <w:rsid w:val="00D4061E"/>
    <w:rsid w:val="00D41202"/>
    <w:rsid w:val="00D42360"/>
    <w:rsid w:val="00D440F8"/>
    <w:rsid w:val="00D46DAE"/>
    <w:rsid w:val="00D4778B"/>
    <w:rsid w:val="00D51C0A"/>
    <w:rsid w:val="00D51E35"/>
    <w:rsid w:val="00D524D1"/>
    <w:rsid w:val="00D536AB"/>
    <w:rsid w:val="00D53D24"/>
    <w:rsid w:val="00D541AA"/>
    <w:rsid w:val="00D54674"/>
    <w:rsid w:val="00D548D6"/>
    <w:rsid w:val="00D565FA"/>
    <w:rsid w:val="00D60749"/>
    <w:rsid w:val="00D6245A"/>
    <w:rsid w:val="00D63EC7"/>
    <w:rsid w:val="00D647F6"/>
    <w:rsid w:val="00D64B36"/>
    <w:rsid w:val="00D64F40"/>
    <w:rsid w:val="00D6508A"/>
    <w:rsid w:val="00D66052"/>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475E"/>
    <w:rsid w:val="00D85D4B"/>
    <w:rsid w:val="00D86738"/>
    <w:rsid w:val="00D86A45"/>
    <w:rsid w:val="00D876EA"/>
    <w:rsid w:val="00D90155"/>
    <w:rsid w:val="00D9144A"/>
    <w:rsid w:val="00D93CE7"/>
    <w:rsid w:val="00D93DA4"/>
    <w:rsid w:val="00D94335"/>
    <w:rsid w:val="00D94531"/>
    <w:rsid w:val="00D94B7E"/>
    <w:rsid w:val="00D95A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E21"/>
    <w:rsid w:val="00E95EB6"/>
    <w:rsid w:val="00E960B6"/>
    <w:rsid w:val="00E96546"/>
    <w:rsid w:val="00E97292"/>
    <w:rsid w:val="00E97A2A"/>
    <w:rsid w:val="00E97D02"/>
    <w:rsid w:val="00EA0C13"/>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4648"/>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FC"/>
    <w:rsid w:val="00F4127C"/>
    <w:rsid w:val="00F41C2C"/>
    <w:rsid w:val="00F420EA"/>
    <w:rsid w:val="00F424FB"/>
    <w:rsid w:val="00F4399F"/>
    <w:rsid w:val="00F44BA7"/>
    <w:rsid w:val="00F44FD4"/>
    <w:rsid w:val="00F4514B"/>
    <w:rsid w:val="00F45C34"/>
    <w:rsid w:val="00F5024A"/>
    <w:rsid w:val="00F507B4"/>
    <w:rsid w:val="00F51B6B"/>
    <w:rsid w:val="00F52204"/>
    <w:rsid w:val="00F532EC"/>
    <w:rsid w:val="00F54736"/>
    <w:rsid w:val="00F54FA1"/>
    <w:rsid w:val="00F553D9"/>
    <w:rsid w:val="00F57ABA"/>
    <w:rsid w:val="00F57F9F"/>
    <w:rsid w:val="00F601EA"/>
    <w:rsid w:val="00F60B1F"/>
    <w:rsid w:val="00F62252"/>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E73"/>
    <w:rsid w:val="00F846B3"/>
    <w:rsid w:val="00F84DC1"/>
    <w:rsid w:val="00F8543F"/>
    <w:rsid w:val="00F859A5"/>
    <w:rsid w:val="00F859D1"/>
    <w:rsid w:val="00F85F14"/>
    <w:rsid w:val="00F86902"/>
    <w:rsid w:val="00F86C1F"/>
    <w:rsid w:val="00F90DA8"/>
    <w:rsid w:val="00F9398C"/>
    <w:rsid w:val="00F942C6"/>
    <w:rsid w:val="00F94788"/>
    <w:rsid w:val="00F94A05"/>
    <w:rsid w:val="00F94A8C"/>
    <w:rsid w:val="00F95458"/>
    <w:rsid w:val="00F95F5A"/>
    <w:rsid w:val="00F97CFA"/>
    <w:rsid w:val="00F97E7E"/>
    <w:rsid w:val="00FA04B5"/>
    <w:rsid w:val="00FA1170"/>
    <w:rsid w:val="00FA1A26"/>
    <w:rsid w:val="00FA1DB9"/>
    <w:rsid w:val="00FA208E"/>
    <w:rsid w:val="00FA21C8"/>
    <w:rsid w:val="00FA2C3F"/>
    <w:rsid w:val="00FA2F3F"/>
    <w:rsid w:val="00FA3DE3"/>
    <w:rsid w:val="00FA4B5F"/>
    <w:rsid w:val="00FA7972"/>
    <w:rsid w:val="00FB088F"/>
    <w:rsid w:val="00FB19AA"/>
    <w:rsid w:val="00FB27EF"/>
    <w:rsid w:val="00FB304E"/>
    <w:rsid w:val="00FB5503"/>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032A"/>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PLChar">
    <w:name w:val="PL Char"/>
    <w:link w:val="PL"/>
    <w:qFormat/>
    <w:rsid w:val="001441D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1bca35888b53bdcafbc32a048fc86e97">
  <xsd:schema xmlns:xsd="http://www.w3.org/2001/XMLSchema" xmlns:xs="http://www.w3.org/2001/XMLSchema" xmlns:p="http://schemas.microsoft.com/office/2006/metadata/properties" xmlns:ns3="6f846979-0e6f-42ff-8b87-e1893efeda99" targetNamespace="http://schemas.microsoft.com/office/2006/metadata/properties" ma:root="true" ma:fieldsID="6c79b581ef95d2945bde3cca6c94892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2.xml><?xml version="1.0" encoding="utf-8"?>
<ds:datastoreItem xmlns:ds="http://schemas.openxmlformats.org/officeDocument/2006/customXml" ds:itemID="{A5D17996-DD9E-4BCB-8B5C-5A7B8DC69E4F}">
  <ds:schemaRefs>
    <ds:schemaRef ds:uri="http://purl.org/dc/elements/1.1/"/>
    <ds:schemaRef ds:uri="http://schemas.openxmlformats.org/package/2006/metadata/core-properties"/>
    <ds:schemaRef ds:uri="http://schemas.microsoft.com/office/2006/metadata/properties"/>
    <ds:schemaRef ds:uri="http://purl.org/dc/dcmitype/"/>
    <ds:schemaRef ds:uri="http://purl.org/dc/terms/"/>
    <ds:schemaRef ds:uri="http://schemas.microsoft.com/office/2006/documentManagement/types"/>
    <ds:schemaRef ds:uri="http://www.w3.org/XML/1998/namespace"/>
    <ds:schemaRef ds:uri="http://schemas.microsoft.com/office/infopath/2007/PartnerControls"/>
    <ds:schemaRef ds:uri="6f846979-0e6f-42ff-8b87-e1893efeda99"/>
  </ds:schemaRefs>
</ds:datastoreItem>
</file>

<file path=customXml/itemProps3.xml><?xml version="1.0" encoding="utf-8"?>
<ds:datastoreItem xmlns:ds="http://schemas.openxmlformats.org/officeDocument/2006/customXml" ds:itemID="{30816C83-4F3F-4C81-A5FE-E1E762617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A71B0-1CFD-4C49-AB46-084610F09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3</Pages>
  <Words>1063</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53</cp:revision>
  <cp:lastPrinted>1899-12-31T23:00:00Z</cp:lastPrinted>
  <dcterms:created xsi:type="dcterms:W3CDTF">2020-02-07T16:07:00Z</dcterms:created>
  <dcterms:modified xsi:type="dcterms:W3CDTF">2020-04-10T16:04:00Z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